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6400800" cy="1098453"/>
            <wp:docPr id="1" name="Picture 1"/>
            <wp:cNvGraphicFramePr>
              <a:graphicFrameLocks noChangeAspect="1"/>
            </wp:cNvGraphicFramePr>
            <a:graphic>
              <a:graphicData uri="http://schemas.openxmlformats.org/drawingml/2006/picture">
                <pic:pic>
                  <pic:nvPicPr>
                    <pic:cNvPr id="0" name="AfriEuro_Links_Full_Logo.png"/>
                    <pic:cNvPicPr/>
                  </pic:nvPicPr>
                  <pic:blipFill>
                    <a:blip r:embed="rId11"/>
                    <a:stretch>
                      <a:fillRect/>
                    </a:stretch>
                  </pic:blipFill>
                  <pic:spPr>
                    <a:xfrm>
                      <a:off x="0" y="0"/>
                      <a:ext cx="6400800" cy="1098453"/>
                    </a:xfrm>
                    <a:prstGeom prst="rect"/>
                  </pic:spPr>
                </pic:pic>
              </a:graphicData>
            </a:graphic>
          </wp:inline>
        </w:drawing>
      </w:r>
    </w:p>
    <w:p>
      <w:pPr>
        <w:spacing w:after="80"/>
        <w:jc w:val="center"/>
      </w:pPr>
      <w:r>
        <w:rPr>
          <w:rFonts w:ascii="Aptos Display" w:hAnsi="Aptos Display"/>
          <w:b/>
          <w:color w:val="2E8B57"/>
          <w:sz w:val="24"/>
        </w:rPr>
        <w:t>WHITE PAPER</w:t>
      </w:r>
    </w:p>
    <w:p>
      <w:pPr>
        <w:pStyle w:val="Title"/>
        <w:jc w:val="center"/>
      </w:pPr>
      <w:r>
        <w:t>AfriEuro Links: A Transparent Digital and Circular Bioeconomy Architecture</w:t>
      </w:r>
    </w:p>
    <w:p>
      <w:pPr>
        <w:pStyle w:val="Subtitle"/>
        <w:jc w:val="center"/>
      </w:pPr>
      <w:r>
        <w:t>Policy, technology and market framework for regenerative cotton, sustainable fashion and renewable oils</w:t>
      </w:r>
    </w:p>
    <w:p>
      <w:pPr>
        <w:pStyle w:val="Small"/>
        <w:jc w:val="center"/>
      </w:pPr>
      <w:r>
        <w:t>A strategic white paper - not a grant application or detailed implementation budget</w:t>
      </w:r>
    </w:p>
    <w:tbl>
      <w:tblPr>
        <w:tblStyle w:val="TableGrid"/>
        <w:tblW w:type="auto" w:w="0"/>
        <w:jc w:val="center"/>
        <w:tblLook w:firstColumn="1" w:firstRow="1" w:lastColumn="0" w:lastRow="0" w:noHBand="0" w:noVBand="1" w:val="04A0"/>
      </w:tblPr>
      <w:tblGrid>
        <w:gridCol w:w="1639"/>
        <w:gridCol w:w="1639"/>
        <w:gridCol w:w="1639"/>
        <w:gridCol w:w="1639"/>
        <w:gridCol w:w="1639"/>
        <w:gridCol w:w="1639"/>
      </w:tblGrid>
      <w:tr>
        <w:tc>
          <w:tcPr>
            <w:tcW w:type="dxa" w:w="1639"/>
            <w:shd w:fill="17375E"/>
            <w:tcMar>
              <w:top w:w="45" w:type="dxa"/>
              <w:start w:w="35" w:type="dxa"/>
              <w:bottom w:w="45" w:type="dxa"/>
              <w:end w:w="35" w:type="dxa"/>
            </w:tcMar>
            <w:vAlign w:val="center"/>
          </w:tcPr>
          <w:p>
            <w:pPr>
              <w:jc w:val="center"/>
            </w:pPr>
            <w:r>
              <w:rPr>
                <w:b/>
                <w:color w:val="FFFFFF"/>
                <w:sz w:val="13"/>
              </w:rPr>
              <w:t>AI-SUPPORTED</w:t>
            </w:r>
          </w:p>
        </w:tc>
        <w:tc>
          <w:tcPr>
            <w:tcW w:type="dxa" w:w="1639"/>
            <w:shd w:fill="2E8B57"/>
            <w:tcMar>
              <w:top w:w="45" w:type="dxa"/>
              <w:start w:w="35" w:type="dxa"/>
              <w:bottom w:w="45" w:type="dxa"/>
              <w:end w:w="35" w:type="dxa"/>
            </w:tcMar>
            <w:vAlign w:val="center"/>
          </w:tcPr>
          <w:p>
            <w:pPr>
              <w:jc w:val="center"/>
            </w:pPr>
            <w:r>
              <w:rPr>
                <w:b/>
                <w:color w:val="FFFFFF"/>
                <w:sz w:val="13"/>
              </w:rPr>
              <w:t>GIS-ENABLED</w:t>
            </w:r>
          </w:p>
        </w:tc>
        <w:tc>
          <w:tcPr>
            <w:tcW w:type="dxa" w:w="1639"/>
            <w:shd w:fill="F2B705"/>
            <w:tcMar>
              <w:top w:w="45" w:type="dxa"/>
              <w:start w:w="35" w:type="dxa"/>
              <w:bottom w:w="45" w:type="dxa"/>
              <w:end w:w="35" w:type="dxa"/>
            </w:tcMar>
            <w:vAlign w:val="center"/>
          </w:tcPr>
          <w:p>
            <w:pPr>
              <w:jc w:val="center"/>
            </w:pPr>
            <w:r>
              <w:rPr>
                <w:b/>
                <w:color w:val="FFFFFF"/>
                <w:sz w:val="13"/>
              </w:rPr>
              <w:t>TRACEABLE</w:t>
            </w:r>
          </w:p>
        </w:tc>
        <w:tc>
          <w:tcPr>
            <w:tcW w:type="dxa" w:w="1639"/>
            <w:shd w:fill="17375E"/>
            <w:tcMar>
              <w:top w:w="45" w:type="dxa"/>
              <w:start w:w="35" w:type="dxa"/>
              <w:bottom w:w="45" w:type="dxa"/>
              <w:end w:w="35" w:type="dxa"/>
            </w:tcMar>
            <w:vAlign w:val="center"/>
          </w:tcPr>
          <w:p>
            <w:pPr>
              <w:jc w:val="center"/>
            </w:pPr>
            <w:r>
              <w:rPr>
                <w:b/>
                <w:color w:val="FFFFFF"/>
                <w:sz w:val="13"/>
              </w:rPr>
              <w:t>ESG-READY</w:t>
            </w:r>
          </w:p>
        </w:tc>
        <w:tc>
          <w:tcPr>
            <w:tcW w:type="dxa" w:w="1639"/>
            <w:shd w:fill="2E8B57"/>
            <w:tcMar>
              <w:top w:w="45" w:type="dxa"/>
              <w:start w:w="35" w:type="dxa"/>
              <w:bottom w:w="45" w:type="dxa"/>
              <w:end w:w="35" w:type="dxa"/>
            </w:tcMar>
            <w:vAlign w:val="center"/>
          </w:tcPr>
          <w:p>
            <w:pPr>
              <w:jc w:val="center"/>
            </w:pPr>
            <w:r>
              <w:rPr>
                <w:b/>
                <w:color w:val="FFFFFF"/>
                <w:sz w:val="13"/>
              </w:rPr>
              <w:t>CLIMATE-FINANCE</w:t>
            </w:r>
          </w:p>
        </w:tc>
        <w:tc>
          <w:tcPr>
            <w:tcW w:type="dxa" w:w="1639"/>
            <w:shd w:fill="F2B705"/>
            <w:tcMar>
              <w:top w:w="45" w:type="dxa"/>
              <w:start w:w="35" w:type="dxa"/>
              <w:bottom w:w="45" w:type="dxa"/>
              <w:end w:w="35" w:type="dxa"/>
            </w:tcMar>
            <w:vAlign w:val="center"/>
          </w:tcPr>
          <w:p>
            <w:pPr>
              <w:jc w:val="center"/>
            </w:pPr>
            <w:r>
              <w:rPr>
                <w:b/>
                <w:color w:val="FFFFFF"/>
                <w:sz w:val="13"/>
              </w:rPr>
              <w:t>CIRCULAR</w:t>
            </w:r>
          </w:p>
        </w:tc>
      </w:tr>
    </w:tbl>
    <w:p/>
    <w:tbl>
      <w:tblPr>
        <w:tblStyle w:val="TableGrid"/>
        <w:tblW w:type="auto" w:w="0"/>
        <w:jc w:val="center"/>
        <w:tblLook w:firstColumn="1" w:firstRow="1" w:lastColumn="0" w:lastRow="0" w:noHBand="0" w:noVBand="1" w:val="04A0"/>
      </w:tblPr>
      <w:tblGrid>
        <w:gridCol w:w="4917"/>
        <w:gridCol w:w="4917"/>
      </w:tblGrid>
      <w:tr>
        <w:tc>
          <w:tcPr>
            <w:tcW w:type="dxa" w:w="4917"/>
            <w:shd w:fill="17375E"/>
            <w:tcMar>
              <w:top w:w="65" w:type="dxa"/>
              <w:start w:w="75" w:type="dxa"/>
              <w:bottom w:w="65" w:type="dxa"/>
              <w:end w:w="75" w:type="dxa"/>
            </w:tcMar>
          </w:tcPr>
          <w:p>
            <w:r>
              <w:rPr>
                <w:b/>
                <w:color w:val="FFFFFF"/>
                <w:sz w:val="16"/>
              </w:rPr>
              <w:t>Lead applicant</w:t>
            </w:r>
          </w:p>
        </w:tc>
        <w:tc>
          <w:tcPr>
            <w:tcW w:type="dxa" w:w="4917"/>
            <w:shd w:fill="E9EEF4"/>
            <w:tcMar>
              <w:top w:w="65" w:type="dxa"/>
              <w:start w:w="75" w:type="dxa"/>
              <w:bottom w:w="65" w:type="dxa"/>
              <w:end w:w="75" w:type="dxa"/>
            </w:tcMar>
          </w:tcPr>
          <w:p>
            <w:r>
              <w:rPr>
                <w:sz w:val="16"/>
              </w:rPr>
              <w:t>Labl Group East Africa LTD</w:t>
            </w:r>
          </w:p>
        </w:tc>
      </w:tr>
      <w:tr>
        <w:tc>
          <w:tcPr>
            <w:tcW w:type="dxa" w:w="4917"/>
            <w:shd w:fill="17375E"/>
            <w:tcMar>
              <w:top w:w="65" w:type="dxa"/>
              <w:start w:w="75" w:type="dxa"/>
              <w:bottom w:w="65" w:type="dxa"/>
              <w:end w:w="75" w:type="dxa"/>
            </w:tcMar>
          </w:tcPr>
          <w:p>
            <w:r>
              <w:rPr>
                <w:b/>
                <w:color w:val="FFFFFF"/>
                <w:sz w:val="16"/>
              </w:rPr>
              <w:t>Core partners</w:t>
            </w:r>
          </w:p>
        </w:tc>
        <w:tc>
          <w:tcPr>
            <w:tcW w:type="dxa" w:w="4917"/>
            <w:shd w:fill="F6F8FB"/>
            <w:tcMar>
              <w:top w:w="65" w:type="dxa"/>
              <w:start w:w="75" w:type="dxa"/>
              <w:bottom w:w="65" w:type="dxa"/>
              <w:end w:w="75" w:type="dxa"/>
            </w:tcMar>
          </w:tcPr>
          <w:p>
            <w:r>
              <w:rPr>
                <w:sz w:val="16"/>
              </w:rPr>
              <w:t>Labl Fashion LTD; Labl Farms LTD; Crostar Energy LTD; Afribiz Consultancy Limited; Goblis Foundation; Afrisol Technologies Limited</w:t>
            </w:r>
          </w:p>
        </w:tc>
      </w:tr>
      <w:tr>
        <w:tc>
          <w:tcPr>
            <w:tcW w:type="dxa" w:w="4917"/>
            <w:shd w:fill="17375E"/>
            <w:tcMar>
              <w:top w:w="65" w:type="dxa"/>
              <w:start w:w="75" w:type="dxa"/>
              <w:bottom w:w="65" w:type="dxa"/>
              <w:end w:w="75" w:type="dxa"/>
            </w:tcMar>
          </w:tcPr>
          <w:p>
            <w:r>
              <w:rPr>
                <w:b/>
                <w:color w:val="FFFFFF"/>
                <w:sz w:val="16"/>
              </w:rPr>
              <w:t>European connection</w:t>
            </w:r>
          </w:p>
        </w:tc>
        <w:tc>
          <w:tcPr>
            <w:tcW w:type="dxa" w:w="4917"/>
            <w:shd w:fill="E9EEF4"/>
            <w:tcMar>
              <w:top w:w="65" w:type="dxa"/>
              <w:start w:w="75" w:type="dxa"/>
              <w:bottom w:w="65" w:type="dxa"/>
              <w:end w:w="75" w:type="dxa"/>
            </w:tcMar>
          </w:tcPr>
          <w:p>
            <w:r>
              <w:rPr>
                <w:sz w:val="16"/>
              </w:rPr>
              <w:t>Labl Fashion B.V., the Netherlands, serving as a gateway to the wider European Union</w:t>
            </w:r>
          </w:p>
        </w:tc>
      </w:tr>
      <w:tr>
        <w:tc>
          <w:tcPr>
            <w:tcW w:type="dxa" w:w="4917"/>
            <w:shd w:fill="17375E"/>
            <w:tcMar>
              <w:top w:w="65" w:type="dxa"/>
              <w:start w:w="75" w:type="dxa"/>
              <w:bottom w:w="65" w:type="dxa"/>
              <w:end w:w="75" w:type="dxa"/>
            </w:tcMar>
          </w:tcPr>
          <w:p>
            <w:r>
              <w:rPr>
                <w:b/>
                <w:color w:val="FFFFFF"/>
                <w:sz w:val="16"/>
              </w:rPr>
              <w:t>Pilot geography</w:t>
            </w:r>
          </w:p>
        </w:tc>
        <w:tc>
          <w:tcPr>
            <w:tcW w:type="dxa" w:w="4917"/>
            <w:shd w:fill="F6F8FB"/>
            <w:tcMar>
              <w:top w:w="65" w:type="dxa"/>
              <w:start w:w="75" w:type="dxa"/>
              <w:bottom w:w="65" w:type="dxa"/>
              <w:end w:w="75" w:type="dxa"/>
            </w:tcMar>
          </w:tcPr>
          <w:p>
            <w:r>
              <w:rPr>
                <w:sz w:val="16"/>
              </w:rPr>
              <w:t>Taita Taveta and Kilifi Counties, Kenya</w:t>
            </w:r>
          </w:p>
        </w:tc>
      </w:tr>
      <w:tr>
        <w:tc>
          <w:tcPr>
            <w:tcW w:type="dxa" w:w="4917"/>
            <w:shd w:fill="17375E"/>
            <w:tcMar>
              <w:top w:w="65" w:type="dxa"/>
              <w:start w:w="75" w:type="dxa"/>
              <w:bottom w:w="65" w:type="dxa"/>
              <w:end w:w="75" w:type="dxa"/>
            </w:tcMar>
          </w:tcPr>
          <w:p>
            <w:r>
              <w:rPr>
                <w:b/>
                <w:color w:val="FFFFFF"/>
                <w:sz w:val="16"/>
              </w:rPr>
              <w:t>Official contacts</w:t>
            </w:r>
          </w:p>
        </w:tc>
        <w:tc>
          <w:tcPr>
            <w:tcW w:type="dxa" w:w="4917"/>
            <w:shd w:fill="E9EEF4"/>
            <w:tcMar>
              <w:top w:w="65" w:type="dxa"/>
              <w:start w:w="75" w:type="dxa"/>
              <w:bottom w:w="65" w:type="dxa"/>
              <w:end w:w="75" w:type="dxa"/>
            </w:tcMar>
          </w:tcPr>
          <w:p>
            <w:r>
              <w:rPr>
                <w:sz w:val="16"/>
              </w:rPr>
              <w:t>www.afrieurolinks.com  |  info@afrieurolinks.com</w:t>
            </w:r>
          </w:p>
        </w:tc>
      </w:tr>
      <w:tr>
        <w:tc>
          <w:tcPr>
            <w:tcW w:type="dxa" w:w="4917"/>
            <w:shd w:fill="17375E"/>
            <w:tcMar>
              <w:top w:w="65" w:type="dxa"/>
              <w:start w:w="75" w:type="dxa"/>
              <w:bottom w:w="65" w:type="dxa"/>
              <w:end w:w="75" w:type="dxa"/>
            </w:tcMar>
          </w:tcPr>
          <w:p>
            <w:r>
              <w:rPr>
                <w:b/>
                <w:color w:val="FFFFFF"/>
                <w:sz w:val="16"/>
              </w:rPr>
              <w:t>Document status</w:t>
            </w:r>
          </w:p>
        </w:tc>
        <w:tc>
          <w:tcPr>
            <w:tcW w:type="dxa" w:w="4917"/>
            <w:shd w:fill="F6F8FB"/>
            <w:tcMar>
              <w:top w:w="65" w:type="dxa"/>
              <w:start w:w="75" w:type="dxa"/>
              <w:bottom w:w="65" w:type="dxa"/>
              <w:end w:w="75" w:type="dxa"/>
            </w:tcMar>
          </w:tcPr>
          <w:p>
            <w:r>
              <w:rPr>
                <w:sz w:val="16"/>
              </w:rPr>
              <w:t>Strategic working document; subject to partner, regulatory, technical and financial validation</w:t>
            </w:r>
          </w:p>
        </w:tc>
      </w:tr>
    </w:tbl>
    <w:p>
      <w:r>
        <w:br w:type="page"/>
      </w:r>
    </w:p>
    <w:p>
      <w:pPr>
        <w:pStyle w:val="Heading1"/>
      </w:pPr>
      <w:r>
        <w:t>Contents</w:t>
      </w:r>
    </w:p>
    <w:tbl>
      <w:tblPr>
        <w:tblStyle w:val="TableGrid"/>
        <w:tblW w:type="auto" w:w="0"/>
        <w:jc w:val="center"/>
        <w:tblLook w:firstColumn="1" w:firstRow="1" w:lastColumn="0" w:lastRow="0" w:noHBand="0" w:noVBand="1" w:val="04A0"/>
      </w:tblPr>
      <w:tblGrid>
        <w:gridCol w:w="4917"/>
        <w:gridCol w:w="4917"/>
      </w:tblGrid>
      <w:tr>
        <w:tc>
          <w:tcPr>
            <w:tcW w:type="dxa" w:w="4917"/>
            <w:shd w:fill="17375E"/>
            <w:tcMar>
              <w:top w:w="45" w:type="dxa"/>
              <w:start w:w="60" w:type="dxa"/>
              <w:bottom w:w="45" w:type="dxa"/>
              <w:end w:w="60" w:type="dxa"/>
            </w:tcMar>
          </w:tcPr>
          <w:p>
            <w:pPr>
              <w:jc w:val="center"/>
            </w:pPr>
            <w:r>
              <w:rPr>
                <w:b/>
                <w:color w:val="FFFFFF"/>
                <w:sz w:val="16"/>
              </w:rPr>
              <w:t>1</w:t>
            </w:r>
          </w:p>
        </w:tc>
        <w:tc>
          <w:tcPr>
            <w:tcW w:type="dxa" w:w="4917"/>
            <w:shd w:fill="F6F8FB"/>
            <w:tcMar>
              <w:top w:w="45" w:type="dxa"/>
              <w:start w:w="60" w:type="dxa"/>
              <w:bottom w:w="45" w:type="dxa"/>
              <w:end w:w="60" w:type="dxa"/>
            </w:tcMar>
          </w:tcPr>
          <w:p>
            <w:r>
              <w:rPr>
                <w:sz w:val="17"/>
              </w:rPr>
              <w:t>Executive perspective and strategic thesis</w:t>
            </w:r>
          </w:p>
        </w:tc>
      </w:tr>
      <w:tr>
        <w:tc>
          <w:tcPr>
            <w:tcW w:type="dxa" w:w="4917"/>
            <w:shd w:fill="17375E"/>
            <w:tcMar>
              <w:top w:w="45" w:type="dxa"/>
              <w:start w:w="60" w:type="dxa"/>
              <w:bottom w:w="45" w:type="dxa"/>
              <w:end w:w="60" w:type="dxa"/>
            </w:tcMar>
          </w:tcPr>
          <w:p>
            <w:pPr>
              <w:jc w:val="center"/>
            </w:pPr>
            <w:r>
              <w:rPr>
                <w:b/>
                <w:color w:val="FFFFFF"/>
                <w:sz w:val="16"/>
              </w:rPr>
              <w:t>2</w:t>
            </w:r>
          </w:p>
        </w:tc>
        <w:tc>
          <w:tcPr>
            <w:tcW w:type="dxa" w:w="4917"/>
            <w:shd w:fill="E9EEF4"/>
            <w:tcMar>
              <w:top w:w="45" w:type="dxa"/>
              <w:start w:w="60" w:type="dxa"/>
              <w:bottom w:w="45" w:type="dxa"/>
              <w:end w:w="60" w:type="dxa"/>
            </w:tcMar>
          </w:tcPr>
          <w:p>
            <w:r>
              <w:rPr>
                <w:sz w:val="17"/>
              </w:rPr>
              <w:t>Integrated Labl-Crostar ecosystem</w:t>
            </w:r>
          </w:p>
        </w:tc>
      </w:tr>
      <w:tr>
        <w:tc>
          <w:tcPr>
            <w:tcW w:type="dxa" w:w="4917"/>
            <w:shd w:fill="17375E"/>
            <w:tcMar>
              <w:top w:w="45" w:type="dxa"/>
              <w:start w:w="60" w:type="dxa"/>
              <w:bottom w:w="45" w:type="dxa"/>
              <w:end w:w="60" w:type="dxa"/>
            </w:tcMar>
          </w:tcPr>
          <w:p>
            <w:pPr>
              <w:jc w:val="center"/>
            </w:pPr>
            <w:r>
              <w:rPr>
                <w:b/>
                <w:color w:val="FFFFFF"/>
                <w:sz w:val="16"/>
              </w:rPr>
              <w:t>3</w:t>
            </w:r>
          </w:p>
        </w:tc>
        <w:tc>
          <w:tcPr>
            <w:tcW w:type="dxa" w:w="4917"/>
            <w:shd w:fill="F6F8FB"/>
            <w:tcMar>
              <w:top w:w="45" w:type="dxa"/>
              <w:start w:w="60" w:type="dxa"/>
              <w:bottom w:w="45" w:type="dxa"/>
              <w:end w:w="60" w:type="dxa"/>
            </w:tcMar>
          </w:tcPr>
          <w:p>
            <w:r>
              <w:rPr>
                <w:sz w:val="17"/>
              </w:rPr>
              <w:t>Market-system and circular-bioeconomy model</w:t>
            </w:r>
          </w:p>
        </w:tc>
      </w:tr>
      <w:tr>
        <w:tc>
          <w:tcPr>
            <w:tcW w:type="dxa" w:w="4917"/>
            <w:shd w:fill="17375E"/>
            <w:tcMar>
              <w:top w:w="45" w:type="dxa"/>
              <w:start w:w="60" w:type="dxa"/>
              <w:bottom w:w="45" w:type="dxa"/>
              <w:end w:w="60" w:type="dxa"/>
            </w:tcMar>
          </w:tcPr>
          <w:p>
            <w:pPr>
              <w:jc w:val="center"/>
            </w:pPr>
            <w:r>
              <w:rPr>
                <w:b/>
                <w:color w:val="FFFFFF"/>
                <w:sz w:val="16"/>
              </w:rPr>
              <w:t>4</w:t>
            </w:r>
          </w:p>
        </w:tc>
        <w:tc>
          <w:tcPr>
            <w:tcW w:type="dxa" w:w="4917"/>
            <w:shd w:fill="E9EEF4"/>
            <w:tcMar>
              <w:top w:w="45" w:type="dxa"/>
              <w:start w:w="60" w:type="dxa"/>
              <w:bottom w:w="45" w:type="dxa"/>
              <w:end w:w="60" w:type="dxa"/>
            </w:tcMar>
          </w:tcPr>
          <w:p>
            <w:r>
              <w:rPr>
                <w:sz w:val="17"/>
              </w:rPr>
              <w:t>Digital architecture and interoperable operating systems</w:t>
            </w:r>
          </w:p>
        </w:tc>
      </w:tr>
      <w:tr>
        <w:tc>
          <w:tcPr>
            <w:tcW w:type="dxa" w:w="4917"/>
            <w:shd w:fill="17375E"/>
            <w:tcMar>
              <w:top w:w="45" w:type="dxa"/>
              <w:start w:w="60" w:type="dxa"/>
              <w:bottom w:w="45" w:type="dxa"/>
              <w:end w:w="60" w:type="dxa"/>
            </w:tcMar>
          </w:tcPr>
          <w:p>
            <w:pPr>
              <w:jc w:val="center"/>
            </w:pPr>
            <w:r>
              <w:rPr>
                <w:b/>
                <w:color w:val="FFFFFF"/>
                <w:sz w:val="16"/>
              </w:rPr>
              <w:t>5</w:t>
            </w:r>
          </w:p>
        </w:tc>
        <w:tc>
          <w:tcPr>
            <w:tcW w:type="dxa" w:w="4917"/>
            <w:shd w:fill="F6F8FB"/>
            <w:tcMar>
              <w:top w:w="45" w:type="dxa"/>
              <w:start w:w="60" w:type="dxa"/>
              <w:bottom w:w="45" w:type="dxa"/>
              <w:end w:w="60" w:type="dxa"/>
            </w:tcMar>
          </w:tcPr>
          <w:p>
            <w:r>
              <w:rPr>
                <w:sz w:val="17"/>
              </w:rPr>
              <w:t>AI, GIS, traceability, ESG and climate-finance capabilities</w:t>
            </w:r>
          </w:p>
        </w:tc>
      </w:tr>
      <w:tr>
        <w:tc>
          <w:tcPr>
            <w:tcW w:type="dxa" w:w="4917"/>
            <w:shd w:fill="17375E"/>
            <w:tcMar>
              <w:top w:w="45" w:type="dxa"/>
              <w:start w:w="60" w:type="dxa"/>
              <w:bottom w:w="45" w:type="dxa"/>
              <w:end w:w="60" w:type="dxa"/>
            </w:tcMar>
          </w:tcPr>
          <w:p>
            <w:pPr>
              <w:jc w:val="center"/>
            </w:pPr>
            <w:r>
              <w:rPr>
                <w:b/>
                <w:color w:val="FFFFFF"/>
                <w:sz w:val="16"/>
              </w:rPr>
              <w:t>6</w:t>
            </w:r>
          </w:p>
        </w:tc>
        <w:tc>
          <w:tcPr>
            <w:tcW w:type="dxa" w:w="4917"/>
            <w:shd w:fill="E9EEF4"/>
            <w:tcMar>
              <w:top w:w="45" w:type="dxa"/>
              <w:start w:w="60" w:type="dxa"/>
              <w:bottom w:w="45" w:type="dxa"/>
              <w:end w:w="60" w:type="dxa"/>
            </w:tcMar>
          </w:tcPr>
          <w:p>
            <w:r>
              <w:rPr>
                <w:sz w:val="17"/>
              </w:rPr>
              <w:t>Payments, weather intelligence and data governance</w:t>
            </w:r>
          </w:p>
        </w:tc>
      </w:tr>
      <w:tr>
        <w:tc>
          <w:tcPr>
            <w:tcW w:type="dxa" w:w="4917"/>
            <w:shd w:fill="17375E"/>
            <w:tcMar>
              <w:top w:w="45" w:type="dxa"/>
              <w:start w:w="60" w:type="dxa"/>
              <w:bottom w:w="45" w:type="dxa"/>
              <w:end w:w="60" w:type="dxa"/>
            </w:tcMar>
          </w:tcPr>
          <w:p>
            <w:pPr>
              <w:jc w:val="center"/>
            </w:pPr>
            <w:r>
              <w:rPr>
                <w:b/>
                <w:color w:val="FFFFFF"/>
                <w:sz w:val="16"/>
              </w:rPr>
              <w:t>7</w:t>
            </w:r>
          </w:p>
        </w:tc>
        <w:tc>
          <w:tcPr>
            <w:tcW w:type="dxa" w:w="4917"/>
            <w:shd w:fill="F6F8FB"/>
            <w:tcMar>
              <w:top w:w="45" w:type="dxa"/>
              <w:start w:w="60" w:type="dxa"/>
              <w:bottom w:w="45" w:type="dxa"/>
              <w:end w:w="60" w:type="dxa"/>
            </w:tcMar>
          </w:tcPr>
          <w:p>
            <w:r>
              <w:rPr>
                <w:sz w:val="17"/>
              </w:rPr>
              <w:t>Markets, institutional architecture and operating model</w:t>
            </w:r>
          </w:p>
        </w:tc>
      </w:tr>
      <w:tr>
        <w:tc>
          <w:tcPr>
            <w:tcW w:type="dxa" w:w="4917"/>
            <w:shd w:fill="17375E"/>
            <w:tcMar>
              <w:top w:w="45" w:type="dxa"/>
              <w:start w:w="60" w:type="dxa"/>
              <w:bottom w:w="45" w:type="dxa"/>
              <w:end w:w="60" w:type="dxa"/>
            </w:tcMar>
          </w:tcPr>
          <w:p>
            <w:pPr>
              <w:jc w:val="center"/>
            </w:pPr>
            <w:r>
              <w:rPr>
                <w:b/>
                <w:color w:val="FFFFFF"/>
                <w:sz w:val="16"/>
              </w:rPr>
              <w:t>8</w:t>
            </w:r>
          </w:p>
        </w:tc>
        <w:tc>
          <w:tcPr>
            <w:tcW w:type="dxa" w:w="4917"/>
            <w:shd w:fill="E9EEF4"/>
            <w:tcMar>
              <w:top w:w="45" w:type="dxa"/>
              <w:start w:w="60" w:type="dxa"/>
              <w:bottom w:w="45" w:type="dxa"/>
              <w:end w:w="60" w:type="dxa"/>
            </w:tcMar>
          </w:tcPr>
          <w:p>
            <w:r>
              <w:rPr>
                <w:sz w:val="17"/>
              </w:rPr>
              <w:t>Roadmap, risks and recommendations</w:t>
            </w:r>
          </w:p>
        </w:tc>
      </w:tr>
      <w:tr>
        <w:tc>
          <w:tcPr>
            <w:tcW w:type="dxa" w:w="4917"/>
            <w:shd w:fill="17375E"/>
            <w:tcMar>
              <w:top w:w="45" w:type="dxa"/>
              <w:start w:w="60" w:type="dxa"/>
              <w:bottom w:w="45" w:type="dxa"/>
              <w:end w:w="60" w:type="dxa"/>
            </w:tcMar>
          </w:tcPr>
          <w:p>
            <w:pPr>
              <w:jc w:val="center"/>
            </w:pPr>
            <w:r>
              <w:rPr>
                <w:b/>
                <w:color w:val="FFFFFF"/>
                <w:sz w:val="16"/>
              </w:rPr>
              <w:t>9</w:t>
            </w:r>
          </w:p>
        </w:tc>
        <w:tc>
          <w:tcPr>
            <w:tcW w:type="dxa" w:w="4917"/>
            <w:shd w:fill="F6F8FB"/>
            <w:tcMar>
              <w:top w:w="45" w:type="dxa"/>
              <w:start w:w="60" w:type="dxa"/>
              <w:bottom w:w="45" w:type="dxa"/>
              <w:end w:w="60" w:type="dxa"/>
            </w:tcMar>
          </w:tcPr>
          <w:p>
            <w:r>
              <w:rPr>
                <w:sz w:val="17"/>
              </w:rPr>
              <w:t>Appendices</w:t>
            </w:r>
          </w:p>
        </w:tc>
      </w:tr>
    </w:tbl>
    <w:p>
      <w:r>
        <w:br w:type="page"/>
      </w:r>
    </w:p>
    <w:p>
      <w:pPr>
        <w:pStyle w:val="Heading1"/>
      </w:pPr>
      <w:r>
        <w:t>Abstract</w:t>
      </w:r>
    </w:p>
    <w:p>
      <w:pPr>
        <w:pStyle w:val="Lead"/>
      </w:pPr>
      <w:r>
        <w:t>AfriEuro Links is proposed as a shared market, evidence and integration architecture linking Labl Group East Africa LTD, Labl Farms LTD, Labl Fashion LTD and Crostar Energy LTD. It responds to a central weakness in African value chains: production, quality, finance, climate information, processing, sustainability evidence and buyer relationships are often managed through disconnected systems. The proposed architecture combines AI-supported operations, GIS and environmental mapping, traceability, ESG reporting, climate-finance readiness and circular bioeconomy infrastructure while maintaining human accountability and independent organisational governance.</w:t>
      </w:r>
    </w:p>
    <w:p>
      <w:r>
        <w:t>This white paper explains the strategic logic, operating architecture, governance safeguards, policy implications and market model. It deliberately does not reproduce a detailed project budget. A white paper may discuss economics, financing mechanisms and investment needs, but line-item budgets normally belong in a concept note, full proposal, feasibility study or investment memorandum.</w:t>
      </w:r>
    </w:p>
    <w:tbl>
      <w:tblPr>
        <w:tblStyle w:val="TableGrid"/>
        <w:tblW w:type="auto" w:w="0"/>
        <w:jc w:val="center"/>
        <w:tblLook w:firstColumn="1" w:firstRow="1" w:lastColumn="0" w:lastRow="0" w:noHBand="0" w:noVBand="1" w:val="04A0"/>
      </w:tblPr>
      <w:tblGrid>
        <w:gridCol w:w="9835"/>
      </w:tblGrid>
      <w:tr>
        <w:tc>
          <w:tcPr>
            <w:tcW w:type="dxa" w:w="9835"/>
            <w:shd w:fill="E9EEF4"/>
            <w:tcMar>
              <w:top w:w="90" w:type="dxa"/>
              <w:start w:w="100" w:type="dxa"/>
              <w:bottom w:w="90" w:type="dxa"/>
              <w:end w:w="100" w:type="dxa"/>
            </w:tcMar>
          </w:tcPr>
          <w:p>
            <w:pPr>
              <w:pStyle w:val="Callout"/>
            </w:pPr>
            <w:r>
              <w:rPr>
                <w:b/>
                <w:color w:val="17375E"/>
                <w:sz w:val="20"/>
              </w:rPr>
              <w:t>White-paper position</w:t>
              <w:br/>
            </w:r>
            <w:r>
              <w:rPr>
                <w:sz w:val="18"/>
              </w:rPr>
              <w:t>AfriEuro Links should be understood not simply as a website or marketplace, but as a governed interoperability and evidence layer connecting independent agriculture, fashion and energy systems to buyers, finance, weather, public institutions and communities.</w:t>
            </w:r>
          </w:p>
        </w:tc>
      </w:tr>
    </w:tbl>
    <w:p>
      <w:pPr>
        <w:pStyle w:val="Heading1"/>
      </w:pPr>
      <w:r>
        <w:t>1. Executive Perspective and Strategic Thesis</w:t>
      </w:r>
    </w:p>
    <w:p>
      <w:r>
        <w:t>African value chains do not primarily lack individual projects. They lack reliable coordination across demand, production, evidence, settlement and learning. Farmers may receive training without orders. Factories may receive orders without traceable materials. Energy ventures may develop feedstock plans without agronomic or environmental evidence. Buyers may request sustainability information that producers cannot generate consistently. Digital platforms may register participants without improving payment, quality or market access.</w:t>
      </w:r>
    </w:p>
    <w:p>
      <w:r>
        <w:t>The AfriEuro Links thesis is that responsible market growth requires a shared operating architecture. The architecture should translate buyer requirements into production and quality plans; connect mapped farms and enterprises to weather and extension services; preserve chain of custody; settle eligible participants through licensed financial rails; generate ESG and climate evidence; support circular use of materials and co-products; and expose only authorised information to each actor.</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5"/>
              </w:rPr>
              <w:t>Strategic principle</w:t>
            </w:r>
          </w:p>
        </w:tc>
        <w:tc>
          <w:tcPr>
            <w:tcW w:type="dxa" w:w="4917"/>
            <w:shd w:fill="17375E"/>
            <w:tcMar>
              <w:top w:w="55" w:type="dxa"/>
              <w:start w:w="60" w:type="dxa"/>
              <w:bottom w:w="55" w:type="dxa"/>
              <w:end w:w="60" w:type="dxa"/>
            </w:tcMar>
          </w:tcPr>
          <w:p>
            <w:pPr>
              <w:jc w:val="center"/>
            </w:pPr>
            <w:r>
              <w:rPr>
                <w:b/>
                <w:color w:val="FFFFFF"/>
                <w:sz w:val="15"/>
              </w:rPr>
              <w:t>Meaning</w:t>
            </w:r>
          </w:p>
        </w:tc>
      </w:tr>
      <w:tr>
        <w:trPr>
          <w:cantSplit/>
        </w:trPr>
        <w:tc>
          <w:tcPr>
            <w:tcW w:type="dxa" w:w="4917"/>
            <w:tcMar>
              <w:top w:w="50" w:type="dxa"/>
              <w:start w:w="55" w:type="dxa"/>
              <w:bottom w:w="50" w:type="dxa"/>
              <w:end w:w="55" w:type="dxa"/>
            </w:tcMar>
            <w:vAlign w:val="top"/>
          </w:tcPr>
          <w:p>
            <w:pPr>
              <w:spacing w:after="20"/>
            </w:pPr>
            <w:r>
              <w:rPr>
                <w:sz w:val="15"/>
              </w:rPr>
              <w:t>Transparency by design</w:t>
            </w:r>
          </w:p>
        </w:tc>
        <w:tc>
          <w:tcPr>
            <w:tcW w:type="dxa" w:w="4917"/>
            <w:tcMar>
              <w:top w:w="50" w:type="dxa"/>
              <w:start w:w="55" w:type="dxa"/>
              <w:bottom w:w="50" w:type="dxa"/>
              <w:end w:w="55" w:type="dxa"/>
            </w:tcMar>
            <w:vAlign w:val="top"/>
          </w:tcPr>
          <w:p>
            <w:pPr>
              <w:spacing w:after="20"/>
            </w:pPr>
            <w:r>
              <w:rPr>
                <w:sz w:val="15"/>
              </w:rPr>
              <w:t>Every material claim, payment, lot, product and ESG indicator should have an identifiable source, method and evidence status.</w:t>
            </w:r>
          </w:p>
        </w:tc>
      </w:tr>
      <w:tr>
        <w:trPr>
          <w:cantSplit/>
        </w:trPr>
        <w:tc>
          <w:tcPr>
            <w:tcW w:type="dxa" w:w="4917"/>
            <w:shd w:fill="F6F8FB"/>
            <w:tcMar>
              <w:top w:w="50" w:type="dxa"/>
              <w:start w:w="55" w:type="dxa"/>
              <w:bottom w:w="50" w:type="dxa"/>
              <w:end w:w="55" w:type="dxa"/>
            </w:tcMar>
            <w:vAlign w:val="top"/>
          </w:tcPr>
          <w:p>
            <w:pPr>
              <w:spacing w:after="20"/>
            </w:pPr>
            <w:r>
              <w:rPr>
                <w:sz w:val="15"/>
              </w:rPr>
              <w:t>Technology in service of operations</w:t>
            </w:r>
          </w:p>
        </w:tc>
        <w:tc>
          <w:tcPr>
            <w:tcW w:type="dxa" w:w="4917"/>
            <w:shd w:fill="F6F8FB"/>
            <w:tcMar>
              <w:top w:w="50" w:type="dxa"/>
              <w:start w:w="55" w:type="dxa"/>
              <w:bottom w:w="50" w:type="dxa"/>
              <w:end w:w="55" w:type="dxa"/>
            </w:tcMar>
            <w:vAlign w:val="top"/>
          </w:tcPr>
          <w:p>
            <w:pPr>
              <w:spacing w:after="20"/>
            </w:pPr>
            <w:r>
              <w:rPr>
                <w:sz w:val="15"/>
              </w:rPr>
              <w:t>AI, GIS and digital payments must improve decisions and settlement, not exist as stand-alone demonstrations.</w:t>
            </w:r>
          </w:p>
        </w:tc>
      </w:tr>
      <w:tr>
        <w:trPr>
          <w:cantSplit/>
        </w:trPr>
        <w:tc>
          <w:tcPr>
            <w:tcW w:type="dxa" w:w="4917"/>
            <w:tcMar>
              <w:top w:w="50" w:type="dxa"/>
              <w:start w:w="55" w:type="dxa"/>
              <w:bottom w:w="50" w:type="dxa"/>
              <w:end w:w="55" w:type="dxa"/>
            </w:tcMar>
            <w:vAlign w:val="top"/>
          </w:tcPr>
          <w:p>
            <w:pPr>
              <w:spacing w:after="20"/>
            </w:pPr>
            <w:r>
              <w:rPr>
                <w:sz w:val="15"/>
              </w:rPr>
              <w:t>Sustainability with commercial discipline</w:t>
            </w:r>
          </w:p>
        </w:tc>
        <w:tc>
          <w:tcPr>
            <w:tcW w:type="dxa" w:w="4917"/>
            <w:tcMar>
              <w:top w:w="50" w:type="dxa"/>
              <w:start w:w="55" w:type="dxa"/>
              <w:bottom w:w="50" w:type="dxa"/>
              <w:end w:w="55" w:type="dxa"/>
            </w:tcMar>
            <w:vAlign w:val="top"/>
          </w:tcPr>
          <w:p>
            <w:pPr>
              <w:spacing w:after="20"/>
            </w:pPr>
            <w:r>
              <w:rPr>
                <w:sz w:val="15"/>
              </w:rPr>
              <w:t>Environmental and social value must be connected to realistic demand, quality, price, operating cost and participant benefit.</w:t>
            </w:r>
          </w:p>
        </w:tc>
      </w:tr>
      <w:tr>
        <w:trPr>
          <w:cantSplit/>
        </w:trPr>
        <w:tc>
          <w:tcPr>
            <w:tcW w:type="dxa" w:w="4917"/>
            <w:shd w:fill="F6F8FB"/>
            <w:tcMar>
              <w:top w:w="50" w:type="dxa"/>
              <w:start w:w="55" w:type="dxa"/>
              <w:bottom w:w="50" w:type="dxa"/>
              <w:end w:w="55" w:type="dxa"/>
            </w:tcMar>
            <w:vAlign w:val="top"/>
          </w:tcPr>
          <w:p>
            <w:pPr>
              <w:spacing w:after="20"/>
            </w:pPr>
            <w:r>
              <w:rPr>
                <w:sz w:val="15"/>
              </w:rPr>
              <w:t>Independent systems, controlled interoperability</w:t>
            </w:r>
          </w:p>
        </w:tc>
        <w:tc>
          <w:tcPr>
            <w:tcW w:type="dxa" w:w="4917"/>
            <w:shd w:fill="F6F8FB"/>
            <w:tcMar>
              <w:top w:w="50" w:type="dxa"/>
              <w:start w:w="55" w:type="dxa"/>
              <w:bottom w:w="50" w:type="dxa"/>
              <w:end w:w="55" w:type="dxa"/>
            </w:tcMar>
            <w:vAlign w:val="top"/>
          </w:tcPr>
          <w:p>
            <w:pPr>
              <w:spacing w:after="20"/>
            </w:pPr>
            <w:r>
              <w:rPr>
                <w:sz w:val="15"/>
              </w:rPr>
              <w:t>Labl and Crostar systems retain their own governance while exchanging approved data through APIs and agreements.</w:t>
            </w:r>
          </w:p>
        </w:tc>
      </w:tr>
      <w:tr>
        <w:trPr>
          <w:cantSplit/>
        </w:trPr>
        <w:tc>
          <w:tcPr>
            <w:tcW w:type="dxa" w:w="4917"/>
            <w:tcMar>
              <w:top w:w="50" w:type="dxa"/>
              <w:start w:w="55" w:type="dxa"/>
              <w:bottom w:w="50" w:type="dxa"/>
              <w:end w:w="55" w:type="dxa"/>
            </w:tcMar>
            <w:vAlign w:val="top"/>
          </w:tcPr>
          <w:p>
            <w:pPr>
              <w:spacing w:after="20"/>
            </w:pPr>
            <w:r>
              <w:rPr>
                <w:sz w:val="15"/>
              </w:rPr>
              <w:t>Whole-farm and circular-bioeconomy thinking</w:t>
            </w:r>
          </w:p>
        </w:tc>
        <w:tc>
          <w:tcPr>
            <w:tcW w:type="dxa" w:w="4917"/>
            <w:tcMar>
              <w:top w:w="50" w:type="dxa"/>
              <w:start w:w="55" w:type="dxa"/>
              <w:bottom w:w="50" w:type="dxa"/>
              <w:end w:w="55" w:type="dxa"/>
            </w:tcMar>
            <w:vAlign w:val="top"/>
          </w:tcPr>
          <w:p>
            <w:pPr>
              <w:spacing w:after="20"/>
            </w:pPr>
            <w:r>
              <w:rPr>
                <w:sz w:val="15"/>
              </w:rPr>
              <w:t>Cotton, food, oilseeds, waste oils, garments, co-products and circular services are planned as connected but safeguarded pathways.</w:t>
            </w:r>
          </w:p>
        </w:tc>
      </w:tr>
      <w:tr>
        <w:trPr>
          <w:cantSplit/>
        </w:trPr>
        <w:tc>
          <w:tcPr>
            <w:tcW w:type="dxa" w:w="4917"/>
            <w:shd w:fill="F6F8FB"/>
            <w:tcMar>
              <w:top w:w="50" w:type="dxa"/>
              <w:start w:w="55" w:type="dxa"/>
              <w:bottom w:w="50" w:type="dxa"/>
              <w:end w:w="55" w:type="dxa"/>
            </w:tcMar>
            <w:vAlign w:val="top"/>
          </w:tcPr>
          <w:p>
            <w:pPr>
              <w:spacing w:after="20"/>
            </w:pPr>
            <w:r>
              <w:rPr>
                <w:sz w:val="15"/>
              </w:rPr>
              <w:t>Human accountability</w:t>
            </w:r>
          </w:p>
        </w:tc>
        <w:tc>
          <w:tcPr>
            <w:tcW w:type="dxa" w:w="4917"/>
            <w:shd w:fill="F6F8FB"/>
            <w:tcMar>
              <w:top w:w="50" w:type="dxa"/>
              <w:start w:w="55" w:type="dxa"/>
              <w:bottom w:w="50" w:type="dxa"/>
              <w:end w:w="55" w:type="dxa"/>
            </w:tcMar>
            <w:vAlign w:val="top"/>
          </w:tcPr>
          <w:p>
            <w:pPr>
              <w:spacing w:after="20"/>
            </w:pPr>
            <w:r>
              <w:rPr>
                <w:sz w:val="15"/>
              </w:rPr>
              <w:t>AI and automated rules support decisions; they do not remove accountable human review, appeal or legal responsibility.</w:t>
            </w:r>
          </w:p>
        </w:tc>
      </w:tr>
    </w:tbl>
    <w:p>
      <w:pPr>
        <w:pStyle w:val="Heading1"/>
      </w:pPr>
      <w:r>
        <w:t>2. The Integrated Labl-Crostar Ecosystem</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Layer</w:t>
            </w:r>
          </w:p>
        </w:tc>
        <w:tc>
          <w:tcPr>
            <w:tcW w:type="dxa" w:w="3278"/>
            <w:shd w:fill="17375E"/>
            <w:tcMar>
              <w:top w:w="55" w:type="dxa"/>
              <w:start w:w="60" w:type="dxa"/>
              <w:bottom w:w="55" w:type="dxa"/>
              <w:end w:w="60" w:type="dxa"/>
            </w:tcMar>
          </w:tcPr>
          <w:p>
            <w:pPr>
              <w:jc w:val="center"/>
            </w:pPr>
            <w:r>
              <w:rPr>
                <w:b/>
                <w:color w:val="FFFFFF"/>
                <w:sz w:val="14"/>
              </w:rPr>
              <w:t>Entity</w:t>
            </w:r>
          </w:p>
        </w:tc>
        <w:tc>
          <w:tcPr>
            <w:tcW w:type="dxa" w:w="3278"/>
            <w:shd w:fill="17375E"/>
            <w:tcMar>
              <w:top w:w="55" w:type="dxa"/>
              <w:start w:w="60" w:type="dxa"/>
              <w:bottom w:w="55" w:type="dxa"/>
              <w:end w:w="60" w:type="dxa"/>
            </w:tcMar>
          </w:tcPr>
          <w:p>
            <w:pPr>
              <w:jc w:val="center"/>
            </w:pPr>
            <w:r>
              <w:rPr>
                <w:b/>
                <w:color w:val="FFFFFF"/>
                <w:sz w:val="14"/>
              </w:rPr>
              <w:t>Strategic function</w:t>
            </w:r>
          </w:p>
        </w:tc>
      </w:tr>
      <w:tr>
        <w:trPr>
          <w:cantSplit/>
        </w:trPr>
        <w:tc>
          <w:tcPr>
            <w:tcW w:type="dxa" w:w="3278"/>
            <w:tcMar>
              <w:top w:w="50" w:type="dxa"/>
              <w:start w:w="55" w:type="dxa"/>
              <w:bottom w:w="50" w:type="dxa"/>
              <w:end w:w="55" w:type="dxa"/>
            </w:tcMar>
            <w:vAlign w:val="top"/>
          </w:tcPr>
          <w:p>
            <w:pPr>
              <w:spacing w:after="20"/>
            </w:pPr>
            <w:r>
              <w:rPr>
                <w:sz w:val="14"/>
              </w:rPr>
              <w:t>Group and market governance</w:t>
            </w:r>
          </w:p>
        </w:tc>
        <w:tc>
          <w:tcPr>
            <w:tcW w:type="dxa" w:w="3278"/>
            <w:tcMar>
              <w:top w:w="50" w:type="dxa"/>
              <w:start w:w="55" w:type="dxa"/>
              <w:bottom w:w="50" w:type="dxa"/>
              <w:end w:w="55" w:type="dxa"/>
            </w:tcMar>
            <w:vAlign w:val="top"/>
          </w:tcPr>
          <w:p>
            <w:pPr>
              <w:spacing w:after="20"/>
            </w:pPr>
            <w:r>
              <w:rPr>
                <w:sz w:val="14"/>
              </w:rPr>
              <w:t>Labl Group East Africa LTD</w:t>
            </w:r>
          </w:p>
        </w:tc>
        <w:tc>
          <w:tcPr>
            <w:tcW w:type="dxa" w:w="3278"/>
            <w:tcMar>
              <w:top w:w="50" w:type="dxa"/>
              <w:start w:w="55" w:type="dxa"/>
              <w:bottom w:w="50" w:type="dxa"/>
              <w:end w:w="55" w:type="dxa"/>
            </w:tcMar>
            <w:vAlign w:val="top"/>
          </w:tcPr>
          <w:p>
            <w:pPr>
              <w:spacing w:after="20"/>
            </w:pPr>
            <w:r>
              <w:rPr>
                <w:sz w:val="14"/>
              </w:rPr>
              <w:t>Shared strategy, partnerships, AfriEuro Links governance, consolidated risk, finance coordination and Kenya-EU market architecture.</w:t>
            </w:r>
          </w:p>
        </w:tc>
      </w:tr>
      <w:tr>
        <w:trPr>
          <w:cantSplit/>
        </w:trPr>
        <w:tc>
          <w:tcPr>
            <w:tcW w:type="dxa" w:w="3278"/>
            <w:shd w:fill="F6F8FB"/>
            <w:tcMar>
              <w:top w:w="50" w:type="dxa"/>
              <w:start w:w="55" w:type="dxa"/>
              <w:bottom w:w="50" w:type="dxa"/>
              <w:end w:w="55" w:type="dxa"/>
            </w:tcMar>
            <w:vAlign w:val="top"/>
          </w:tcPr>
          <w:p>
            <w:pPr>
              <w:spacing w:after="20"/>
            </w:pPr>
            <w:r>
              <w:rPr>
                <w:sz w:val="14"/>
              </w:rPr>
              <w:t>Regenerative agriculture and research</w:t>
            </w:r>
          </w:p>
        </w:tc>
        <w:tc>
          <w:tcPr>
            <w:tcW w:type="dxa" w:w="3278"/>
            <w:shd w:fill="F6F8FB"/>
            <w:tcMar>
              <w:top w:w="50" w:type="dxa"/>
              <w:start w:w="55" w:type="dxa"/>
              <w:bottom w:w="50" w:type="dxa"/>
              <w:end w:w="55" w:type="dxa"/>
            </w:tcMar>
            <w:vAlign w:val="top"/>
          </w:tcPr>
          <w:p>
            <w:pPr>
              <w:spacing w:after="20"/>
            </w:pPr>
            <w:r>
              <w:rPr>
                <w:sz w:val="14"/>
              </w:rPr>
              <w:t>Labl Farms LTD</w:t>
            </w:r>
          </w:p>
        </w:tc>
        <w:tc>
          <w:tcPr>
            <w:tcW w:type="dxa" w:w="3278"/>
            <w:shd w:fill="F6F8FB"/>
            <w:tcMar>
              <w:top w:w="50" w:type="dxa"/>
              <w:start w:w="55" w:type="dxa"/>
              <w:bottom w:w="50" w:type="dxa"/>
              <w:end w:w="55" w:type="dxa"/>
            </w:tcMar>
            <w:vAlign w:val="top"/>
          </w:tcPr>
          <w:p>
            <w:pPr>
              <w:spacing w:after="20"/>
            </w:pPr>
            <w:r>
              <w:rPr>
                <w:sz w:val="14"/>
              </w:rPr>
              <w:t>Whole-farm systems, farmer services, GIS/environmental evidence, aggregation, regenerative research and future ginning capability.</w:t>
            </w:r>
          </w:p>
        </w:tc>
      </w:tr>
      <w:tr>
        <w:trPr>
          <w:cantSplit/>
        </w:trPr>
        <w:tc>
          <w:tcPr>
            <w:tcW w:type="dxa" w:w="3278"/>
            <w:tcMar>
              <w:top w:w="50" w:type="dxa"/>
              <w:start w:w="55" w:type="dxa"/>
              <w:bottom w:w="50" w:type="dxa"/>
              <w:end w:w="55" w:type="dxa"/>
            </w:tcMar>
            <w:vAlign w:val="top"/>
          </w:tcPr>
          <w:p>
            <w:pPr>
              <w:spacing w:after="20"/>
            </w:pPr>
            <w:r>
              <w:rPr>
                <w:sz w:val="14"/>
              </w:rPr>
              <w:t>Fashion and product transformation</w:t>
            </w:r>
          </w:p>
        </w:tc>
        <w:tc>
          <w:tcPr>
            <w:tcW w:type="dxa" w:w="3278"/>
            <w:tcMar>
              <w:top w:w="50" w:type="dxa"/>
              <w:start w:w="55" w:type="dxa"/>
              <w:bottom w:w="50" w:type="dxa"/>
              <w:end w:w="55" w:type="dxa"/>
            </w:tcMar>
            <w:vAlign w:val="top"/>
          </w:tcPr>
          <w:p>
            <w:pPr>
              <w:spacing w:after="20"/>
            </w:pPr>
            <w:r>
              <w:rPr>
                <w:sz w:val="14"/>
              </w:rPr>
              <w:t>Labl Fashion LTD</w:t>
            </w:r>
          </w:p>
        </w:tc>
        <w:tc>
          <w:tcPr>
            <w:tcW w:type="dxa" w:w="3278"/>
            <w:tcMar>
              <w:top w:w="50" w:type="dxa"/>
              <w:start w:w="55" w:type="dxa"/>
              <w:bottom w:w="50" w:type="dxa"/>
              <w:end w:w="55" w:type="dxa"/>
            </w:tcMar>
            <w:vAlign w:val="top"/>
          </w:tcPr>
          <w:p>
            <w:pPr>
              <w:spacing w:after="20"/>
            </w:pPr>
            <w:r>
              <w:rPr>
                <w:sz w:val="14"/>
              </w:rPr>
              <w:t>Design, sampling, responsible sourcing, garment manufacturing, quality, product traceability and circularity.</w:t>
            </w:r>
          </w:p>
        </w:tc>
      </w:tr>
      <w:tr>
        <w:trPr>
          <w:cantSplit/>
        </w:trPr>
        <w:tc>
          <w:tcPr>
            <w:tcW w:type="dxa" w:w="3278"/>
            <w:shd w:fill="F6F8FB"/>
            <w:tcMar>
              <w:top w:w="50" w:type="dxa"/>
              <w:start w:w="55" w:type="dxa"/>
              <w:bottom w:w="50" w:type="dxa"/>
              <w:end w:w="55" w:type="dxa"/>
            </w:tcMar>
            <w:vAlign w:val="top"/>
          </w:tcPr>
          <w:p>
            <w:pPr>
              <w:spacing w:after="20"/>
            </w:pPr>
            <w:r>
              <w:rPr>
                <w:sz w:val="14"/>
              </w:rPr>
              <w:t>Renewable oils and bioeconomy</w:t>
            </w:r>
          </w:p>
        </w:tc>
        <w:tc>
          <w:tcPr>
            <w:tcW w:type="dxa" w:w="3278"/>
            <w:shd w:fill="F6F8FB"/>
            <w:tcMar>
              <w:top w:w="50" w:type="dxa"/>
              <w:start w:w="55" w:type="dxa"/>
              <w:bottom w:w="50" w:type="dxa"/>
              <w:end w:w="55" w:type="dxa"/>
            </w:tcMar>
            <w:vAlign w:val="top"/>
          </w:tcPr>
          <w:p>
            <w:pPr>
              <w:spacing w:after="20"/>
            </w:pPr>
            <w:r>
              <w:rPr>
                <w:sz w:val="14"/>
              </w:rPr>
              <w:t>Crostar Energy LTD</w:t>
            </w:r>
          </w:p>
        </w:tc>
        <w:tc>
          <w:tcPr>
            <w:tcW w:type="dxa" w:w="3278"/>
            <w:shd w:fill="F6F8FB"/>
            <w:tcMar>
              <w:top w:w="50" w:type="dxa"/>
              <w:start w:w="55" w:type="dxa"/>
              <w:bottom w:w="50" w:type="dxa"/>
              <w:end w:w="55" w:type="dxa"/>
            </w:tcMar>
            <w:vAlign w:val="top"/>
          </w:tcPr>
          <w:p>
            <w:pPr>
              <w:spacing w:after="20"/>
            </w:pPr>
            <w:r>
              <w:rPr>
                <w:sz w:val="14"/>
              </w:rPr>
              <w:t>Oilseed and UCO feedstock, extraction, biodiesel-feedstock pathways, co-products, safety, quality and energy markets.</w:t>
            </w:r>
          </w:p>
        </w:tc>
      </w:tr>
      <w:tr>
        <w:trPr>
          <w:cantSplit/>
        </w:trPr>
        <w:tc>
          <w:tcPr>
            <w:tcW w:type="dxa" w:w="3278"/>
            <w:tcMar>
              <w:top w:w="50" w:type="dxa"/>
              <w:start w:w="55" w:type="dxa"/>
              <w:bottom w:w="50" w:type="dxa"/>
              <w:end w:w="55" w:type="dxa"/>
            </w:tcMar>
            <w:vAlign w:val="top"/>
          </w:tcPr>
          <w:p>
            <w:pPr>
              <w:spacing w:after="20"/>
            </w:pPr>
            <w:r>
              <w:rPr>
                <w:sz w:val="14"/>
              </w:rPr>
              <w:t>Technology delivery</w:t>
            </w:r>
          </w:p>
        </w:tc>
        <w:tc>
          <w:tcPr>
            <w:tcW w:type="dxa" w:w="3278"/>
            <w:tcMar>
              <w:top w:w="50" w:type="dxa"/>
              <w:start w:w="55" w:type="dxa"/>
              <w:bottom w:w="50" w:type="dxa"/>
              <w:end w:w="55" w:type="dxa"/>
            </w:tcMar>
            <w:vAlign w:val="top"/>
          </w:tcPr>
          <w:p>
            <w:pPr>
              <w:spacing w:after="20"/>
            </w:pPr>
            <w:r>
              <w:rPr>
                <w:sz w:val="14"/>
              </w:rPr>
              <w:t>Afrisol Technologies Limited</w:t>
            </w:r>
          </w:p>
        </w:tc>
        <w:tc>
          <w:tcPr>
            <w:tcW w:type="dxa" w:w="3278"/>
            <w:tcMar>
              <w:top w:w="50" w:type="dxa"/>
              <w:start w:w="55" w:type="dxa"/>
              <w:bottom w:w="50" w:type="dxa"/>
              <w:end w:w="55" w:type="dxa"/>
            </w:tcMar>
            <w:vAlign w:val="top"/>
          </w:tcPr>
          <w:p>
            <w:pPr>
              <w:spacing w:after="20"/>
            </w:pPr>
            <w:r>
              <w:rPr>
                <w:sz w:val="14"/>
              </w:rPr>
              <w:t>Architecture, development, integrations, cybersecurity, AI implementation, maintenance and handover.</w:t>
            </w:r>
          </w:p>
        </w:tc>
      </w:tr>
      <w:tr>
        <w:trPr>
          <w:cantSplit/>
        </w:trPr>
        <w:tc>
          <w:tcPr>
            <w:tcW w:type="dxa" w:w="3278"/>
            <w:shd w:fill="F6F8FB"/>
            <w:tcMar>
              <w:top w:w="50" w:type="dxa"/>
              <w:start w:w="55" w:type="dxa"/>
              <w:bottom w:w="50" w:type="dxa"/>
              <w:end w:w="55" w:type="dxa"/>
            </w:tcMar>
            <w:vAlign w:val="top"/>
          </w:tcPr>
          <w:p>
            <w:pPr>
              <w:spacing w:after="20"/>
            </w:pPr>
            <w:r>
              <w:rPr>
                <w:sz w:val="14"/>
              </w:rPr>
              <w:t>Registration and onboarding</w:t>
            </w:r>
          </w:p>
        </w:tc>
        <w:tc>
          <w:tcPr>
            <w:tcW w:type="dxa" w:w="3278"/>
            <w:shd w:fill="F6F8FB"/>
            <w:tcMar>
              <w:top w:w="50" w:type="dxa"/>
              <w:start w:w="55" w:type="dxa"/>
              <w:bottom w:w="50" w:type="dxa"/>
              <w:end w:w="55" w:type="dxa"/>
            </w:tcMar>
            <w:vAlign w:val="top"/>
          </w:tcPr>
          <w:p>
            <w:pPr>
              <w:spacing w:after="20"/>
            </w:pPr>
            <w:r>
              <w:rPr>
                <w:sz w:val="14"/>
              </w:rPr>
              <w:t>Afribiz Consultancy Limited</w:t>
            </w:r>
          </w:p>
        </w:tc>
        <w:tc>
          <w:tcPr>
            <w:tcW w:type="dxa" w:w="3278"/>
            <w:shd w:fill="F6F8FB"/>
            <w:tcMar>
              <w:top w:w="50" w:type="dxa"/>
              <w:start w:w="55" w:type="dxa"/>
              <w:bottom w:w="50" w:type="dxa"/>
              <w:end w:w="55" w:type="dxa"/>
            </w:tcMar>
            <w:vAlign w:val="top"/>
          </w:tcPr>
          <w:p>
            <w:pPr>
              <w:spacing w:after="20"/>
            </w:pPr>
            <w:r>
              <w:rPr>
                <w:sz w:val="14"/>
              </w:rPr>
              <w:t>Independent community, farmer, cooperative and SME registration, documentation, verification and onboarding.</w:t>
            </w:r>
          </w:p>
        </w:tc>
      </w:tr>
      <w:tr>
        <w:trPr>
          <w:cantSplit/>
        </w:trPr>
        <w:tc>
          <w:tcPr>
            <w:tcW w:type="dxa" w:w="3278"/>
            <w:tcMar>
              <w:top w:w="50" w:type="dxa"/>
              <w:start w:w="55" w:type="dxa"/>
              <w:bottom w:w="50" w:type="dxa"/>
              <w:end w:w="55" w:type="dxa"/>
            </w:tcMar>
            <w:vAlign w:val="top"/>
          </w:tcPr>
          <w:p>
            <w:pPr>
              <w:spacing w:after="20"/>
            </w:pPr>
            <w:r>
              <w:rPr>
                <w:sz w:val="14"/>
              </w:rPr>
              <w:t>Community capability and safeguards</w:t>
            </w:r>
          </w:p>
        </w:tc>
        <w:tc>
          <w:tcPr>
            <w:tcW w:type="dxa" w:w="3278"/>
            <w:tcMar>
              <w:top w:w="50" w:type="dxa"/>
              <w:start w:w="55" w:type="dxa"/>
              <w:bottom w:w="50" w:type="dxa"/>
              <w:end w:w="55" w:type="dxa"/>
            </w:tcMar>
            <w:vAlign w:val="top"/>
          </w:tcPr>
          <w:p>
            <w:pPr>
              <w:spacing w:after="20"/>
            </w:pPr>
            <w:r>
              <w:rPr>
                <w:sz w:val="14"/>
              </w:rPr>
              <w:t>Goblis Foundation</w:t>
            </w:r>
          </w:p>
        </w:tc>
        <w:tc>
          <w:tcPr>
            <w:tcW w:type="dxa" w:w="3278"/>
            <w:tcMar>
              <w:top w:w="50" w:type="dxa"/>
              <w:start w:w="55" w:type="dxa"/>
              <w:bottom w:w="50" w:type="dxa"/>
              <w:end w:w="55" w:type="dxa"/>
            </w:tcMar>
            <w:vAlign w:val="top"/>
          </w:tcPr>
          <w:p>
            <w:pPr>
              <w:spacing w:after="20"/>
            </w:pPr>
            <w:r>
              <w:rPr>
                <w:sz w:val="14"/>
              </w:rPr>
              <w:t>Training, inclusion, safeguarding, financial literacy, community accountability and grant support.</w:t>
            </w:r>
          </w:p>
        </w:tc>
      </w:tr>
      <w:tr>
        <w:trPr>
          <w:cantSplit/>
        </w:trPr>
        <w:tc>
          <w:tcPr>
            <w:tcW w:type="dxa" w:w="3278"/>
            <w:shd w:fill="F6F8FB"/>
            <w:tcMar>
              <w:top w:w="50" w:type="dxa"/>
              <w:start w:w="55" w:type="dxa"/>
              <w:bottom w:w="50" w:type="dxa"/>
              <w:end w:w="55" w:type="dxa"/>
            </w:tcMar>
            <w:vAlign w:val="top"/>
          </w:tcPr>
          <w:p>
            <w:pPr>
              <w:spacing w:after="20"/>
            </w:pPr>
            <w:r>
              <w:rPr>
                <w:sz w:val="14"/>
              </w:rPr>
              <w:t>European gateway</w:t>
            </w:r>
          </w:p>
        </w:tc>
        <w:tc>
          <w:tcPr>
            <w:tcW w:type="dxa" w:w="3278"/>
            <w:shd w:fill="F6F8FB"/>
            <w:tcMar>
              <w:top w:w="50" w:type="dxa"/>
              <w:start w:w="55" w:type="dxa"/>
              <w:bottom w:w="50" w:type="dxa"/>
              <w:end w:w="55" w:type="dxa"/>
            </w:tcMar>
            <w:vAlign w:val="top"/>
          </w:tcPr>
          <w:p>
            <w:pPr>
              <w:spacing w:after="20"/>
            </w:pPr>
            <w:r>
              <w:rPr>
                <w:sz w:val="14"/>
              </w:rPr>
              <w:t>Labl Fashion B.V., Netherlands</w:t>
            </w:r>
          </w:p>
        </w:tc>
        <w:tc>
          <w:tcPr>
            <w:tcW w:type="dxa" w:w="3278"/>
            <w:shd w:fill="F6F8FB"/>
            <w:tcMar>
              <w:top w:w="50" w:type="dxa"/>
              <w:start w:w="55" w:type="dxa"/>
              <w:bottom w:w="50" w:type="dxa"/>
              <w:end w:w="55" w:type="dxa"/>
            </w:tcMar>
            <w:vAlign w:val="top"/>
          </w:tcPr>
          <w:p>
            <w:pPr>
              <w:spacing w:after="20"/>
            </w:pPr>
            <w:r>
              <w:rPr>
                <w:sz w:val="14"/>
              </w:rPr>
              <w:t>Initial European interface and a gateway to wider EU buyers, brands, logistics and investment relationships.</w:t>
            </w:r>
          </w:p>
        </w:tc>
      </w:tr>
    </w:tbl>
    <w:p>
      <w:r>
        <w:t>The ecosystem is designed around specialisation rather than organisational collapse. Each entity retains a distinct legal, operational, financial and data responsibility. AfriEuro Links coordinates approved interactions, but does not convert the partners into one unrestricted database, balance sheet or operational unit.</w:t>
      </w:r>
    </w:p>
    <w:p>
      <w:pPr>
        <w:pStyle w:val="Heading1"/>
      </w:pPr>
      <w:r>
        <w:t>3. Market-System and Circular-Bioeconomy Model</w:t>
      </w:r>
    </w:p>
    <w:p>
      <w:pPr>
        <w:pStyle w:val="Heading2"/>
      </w:pPr>
      <w:r>
        <w:t>3.1 Cotton as an anchor, not a single livelihood</w:t>
      </w:r>
    </w:p>
    <w:p>
      <w:r>
        <w:t>Cotton creates fibre, employment and manufacturing value, but cotton-only mobilisation can reproduce the vulnerabilities that contributed to past sector decline. The model therefore combines buyer-linked cotton with household food production, fruits, vegetables, legumes, trees, approved dye crops and selected oilseeds. Diversification is not a list of crops; it is a farm-level plan based on water, soil, labour, market, food and environmental constraints.</w:t>
      </w:r>
    </w:p>
    <w:p>
      <w:pPr>
        <w:pStyle w:val="Heading2"/>
      </w:pPr>
      <w:r>
        <w:t>3.2 Cotton-to-fashion pathway</w:t>
      </w:r>
    </w:p>
    <w:p>
      <w:r>
        <w:t>Seed cotton is registered, aggregated and graded; lint passes through qualified ginning and fibre conversion; Labl Fashion develops samples and garments; and product evidence connects composition, production, quality, buyer delivery and circular services. Vertical integration is phased. New ginning, spinning, weaving, knitting or dyeing capacity is justified only by demand, competence, compliance and investment economics.</w:t>
      </w:r>
    </w:p>
    <w:p>
      <w:pPr>
        <w:pStyle w:val="Heading2"/>
      </w:pPr>
      <w:r>
        <w:t>3.3 Cottonseed, oilseeds and renewable-oil pathway</w:t>
      </w:r>
    </w:p>
    <w:p>
      <w:r>
        <w:t>Cottonseed can enter planting, oil, feed or other lawful pathways according to quality and economics. Crostar Energy may use eligible cottonseed oil, approved oilseeds and used cooking oil as renewable-oil or biodiesel feedstock. Jatropha, castor, croton, canola or other crops require separate agronomic, toxicity, land-use, processing and market assessment. No crop is assumed sustainable simply because it can produce oil.</w:t>
      </w:r>
    </w:p>
    <w:p>
      <w:pPr>
        <w:pStyle w:val="Heading2"/>
      </w:pPr>
      <w:r>
        <w:t>3.4 Circular bioeconomy infrastructure</w:t>
      </w:r>
    </w:p>
    <w:tbl>
      <w:tblPr>
        <w:tblStyle w:val="TableGrid"/>
        <w:tblW w:type="auto" w:w="0"/>
        <w:jc w:val="center"/>
        <w:tblLayout w:type="autofit"/>
        <w:tblLook w:firstColumn="1" w:firstRow="1" w:lastColumn="0" w:lastRow="0" w:noHBand="0" w:noVBand="1" w:val="04A0"/>
      </w:tblPr>
      <w:tblGrid>
        <w:gridCol w:w="2459"/>
        <w:gridCol w:w="2459"/>
        <w:gridCol w:w="2459"/>
        <w:gridCol w:w="2459"/>
      </w:tblGrid>
      <w:tr>
        <w:trPr>
          <w:tblHeader w:val="true"/>
        </w:trPr>
        <w:tc>
          <w:tcPr>
            <w:tcW w:type="dxa" w:w="2459"/>
            <w:shd w:fill="17375E"/>
            <w:tcMar>
              <w:top w:w="55" w:type="dxa"/>
              <w:start w:w="60" w:type="dxa"/>
              <w:bottom w:w="55" w:type="dxa"/>
              <w:end w:w="60" w:type="dxa"/>
            </w:tcMar>
          </w:tcPr>
          <w:p>
            <w:pPr>
              <w:jc w:val="center"/>
            </w:pPr>
            <w:r>
              <w:rPr>
                <w:b/>
                <w:color w:val="FFFFFF"/>
                <w:sz w:val="14"/>
              </w:rPr>
              <w:t>Material or flow</w:t>
            </w:r>
          </w:p>
        </w:tc>
        <w:tc>
          <w:tcPr>
            <w:tcW w:type="dxa" w:w="2459"/>
            <w:shd w:fill="17375E"/>
            <w:tcMar>
              <w:top w:w="55" w:type="dxa"/>
              <w:start w:w="60" w:type="dxa"/>
              <w:bottom w:w="55" w:type="dxa"/>
              <w:end w:w="60" w:type="dxa"/>
            </w:tcMar>
          </w:tcPr>
          <w:p>
            <w:pPr>
              <w:jc w:val="center"/>
            </w:pPr>
            <w:r>
              <w:rPr>
                <w:b/>
                <w:color w:val="FFFFFF"/>
                <w:sz w:val="14"/>
              </w:rPr>
              <w:t>Primary value pathway</w:t>
            </w:r>
          </w:p>
        </w:tc>
        <w:tc>
          <w:tcPr>
            <w:tcW w:type="dxa" w:w="2459"/>
            <w:shd w:fill="17375E"/>
            <w:tcMar>
              <w:top w:w="55" w:type="dxa"/>
              <w:start w:w="60" w:type="dxa"/>
              <w:bottom w:w="55" w:type="dxa"/>
              <w:end w:w="60" w:type="dxa"/>
            </w:tcMar>
          </w:tcPr>
          <w:p>
            <w:pPr>
              <w:jc w:val="center"/>
            </w:pPr>
            <w:r>
              <w:rPr>
                <w:b/>
                <w:color w:val="FFFFFF"/>
                <w:sz w:val="14"/>
              </w:rPr>
              <w:t>Circular or secondary pathway</w:t>
            </w:r>
          </w:p>
        </w:tc>
        <w:tc>
          <w:tcPr>
            <w:tcW w:type="dxa" w:w="2459"/>
            <w:shd w:fill="17375E"/>
            <w:tcMar>
              <w:top w:w="55" w:type="dxa"/>
              <w:start w:w="60" w:type="dxa"/>
              <w:bottom w:w="55" w:type="dxa"/>
              <w:end w:w="60" w:type="dxa"/>
            </w:tcMar>
          </w:tcPr>
          <w:p>
            <w:pPr>
              <w:jc w:val="center"/>
            </w:pPr>
            <w:r>
              <w:rPr>
                <w:b/>
                <w:color w:val="FFFFFF"/>
                <w:sz w:val="14"/>
              </w:rPr>
              <w:t>Safeguard</w:t>
            </w:r>
          </w:p>
        </w:tc>
      </w:tr>
      <w:tr>
        <w:trPr>
          <w:cantSplit/>
        </w:trPr>
        <w:tc>
          <w:tcPr>
            <w:tcW w:type="dxa" w:w="2459"/>
            <w:tcMar>
              <w:top w:w="50" w:type="dxa"/>
              <w:start w:w="55" w:type="dxa"/>
              <w:bottom w:w="50" w:type="dxa"/>
              <w:end w:w="55" w:type="dxa"/>
            </w:tcMar>
            <w:vAlign w:val="top"/>
          </w:tcPr>
          <w:p>
            <w:pPr>
              <w:spacing w:after="20"/>
            </w:pPr>
            <w:r>
              <w:rPr>
                <w:sz w:val="14"/>
              </w:rPr>
              <w:t>Cotton fibre</w:t>
            </w:r>
          </w:p>
        </w:tc>
        <w:tc>
          <w:tcPr>
            <w:tcW w:type="dxa" w:w="2459"/>
            <w:tcMar>
              <w:top w:w="50" w:type="dxa"/>
              <w:start w:w="55" w:type="dxa"/>
              <w:bottom w:w="50" w:type="dxa"/>
              <w:end w:w="55" w:type="dxa"/>
            </w:tcMar>
            <w:vAlign w:val="top"/>
          </w:tcPr>
          <w:p>
            <w:pPr>
              <w:spacing w:after="20"/>
            </w:pPr>
            <w:r>
              <w:rPr>
                <w:sz w:val="14"/>
              </w:rPr>
              <w:t>Textiles and garments.</w:t>
            </w:r>
          </w:p>
        </w:tc>
        <w:tc>
          <w:tcPr>
            <w:tcW w:type="dxa" w:w="2459"/>
            <w:tcMar>
              <w:top w:w="50" w:type="dxa"/>
              <w:start w:w="55" w:type="dxa"/>
              <w:bottom w:w="50" w:type="dxa"/>
              <w:end w:w="55" w:type="dxa"/>
            </w:tcMar>
            <w:vAlign w:val="top"/>
          </w:tcPr>
          <w:p>
            <w:pPr>
              <w:spacing w:after="20"/>
            </w:pPr>
            <w:r>
              <w:rPr>
                <w:sz w:val="14"/>
              </w:rPr>
              <w:t>Repair, reuse, return, repurposing and fibre recovery where feasible.</w:t>
            </w:r>
          </w:p>
        </w:tc>
        <w:tc>
          <w:tcPr>
            <w:tcW w:type="dxa" w:w="2459"/>
            <w:tcMar>
              <w:top w:w="50" w:type="dxa"/>
              <w:start w:w="55" w:type="dxa"/>
              <w:bottom w:w="50" w:type="dxa"/>
              <w:end w:w="55" w:type="dxa"/>
            </w:tcMar>
            <w:vAlign w:val="top"/>
          </w:tcPr>
          <w:p>
            <w:pPr>
              <w:spacing w:after="20"/>
            </w:pPr>
            <w:r>
              <w:rPr>
                <w:sz w:val="14"/>
              </w:rPr>
              <w:t>Composition, chemical, labour and quality evidence.</w:t>
            </w:r>
          </w:p>
        </w:tc>
      </w:tr>
      <w:tr>
        <w:trPr>
          <w:cantSplit/>
        </w:trPr>
        <w:tc>
          <w:tcPr>
            <w:tcW w:type="dxa" w:w="2459"/>
            <w:shd w:fill="F6F8FB"/>
            <w:tcMar>
              <w:top w:w="50" w:type="dxa"/>
              <w:start w:w="55" w:type="dxa"/>
              <w:bottom w:w="50" w:type="dxa"/>
              <w:end w:w="55" w:type="dxa"/>
            </w:tcMar>
            <w:vAlign w:val="top"/>
          </w:tcPr>
          <w:p>
            <w:pPr>
              <w:spacing w:after="20"/>
            </w:pPr>
            <w:r>
              <w:rPr>
                <w:sz w:val="14"/>
              </w:rPr>
              <w:t>Cottonseed</w:t>
            </w:r>
          </w:p>
        </w:tc>
        <w:tc>
          <w:tcPr>
            <w:tcW w:type="dxa" w:w="2459"/>
            <w:shd w:fill="F6F8FB"/>
            <w:tcMar>
              <w:top w:w="50" w:type="dxa"/>
              <w:start w:w="55" w:type="dxa"/>
              <w:bottom w:w="50" w:type="dxa"/>
              <w:end w:w="55" w:type="dxa"/>
            </w:tcMar>
            <w:vAlign w:val="top"/>
          </w:tcPr>
          <w:p>
            <w:pPr>
              <w:spacing w:after="20"/>
            </w:pPr>
            <w:r>
              <w:rPr>
                <w:sz w:val="14"/>
              </w:rPr>
              <w:t>Planting, oil or other approved use.</w:t>
            </w:r>
          </w:p>
        </w:tc>
        <w:tc>
          <w:tcPr>
            <w:tcW w:type="dxa" w:w="2459"/>
            <w:shd w:fill="F6F8FB"/>
            <w:tcMar>
              <w:top w:w="50" w:type="dxa"/>
              <w:start w:w="55" w:type="dxa"/>
              <w:bottom w:w="50" w:type="dxa"/>
              <w:end w:w="55" w:type="dxa"/>
            </w:tcMar>
            <w:vAlign w:val="top"/>
          </w:tcPr>
          <w:p>
            <w:pPr>
              <w:spacing w:after="20"/>
            </w:pPr>
            <w:r>
              <w:rPr>
                <w:sz w:val="14"/>
              </w:rPr>
              <w:t>Renewable-oil pathway and crop-specific co-products.</w:t>
            </w:r>
          </w:p>
        </w:tc>
        <w:tc>
          <w:tcPr>
            <w:tcW w:type="dxa" w:w="2459"/>
            <w:shd w:fill="F6F8FB"/>
            <w:tcMar>
              <w:top w:w="50" w:type="dxa"/>
              <w:start w:w="55" w:type="dxa"/>
              <w:bottom w:w="50" w:type="dxa"/>
              <w:end w:w="55" w:type="dxa"/>
            </w:tcMar>
            <w:vAlign w:val="top"/>
          </w:tcPr>
          <w:p>
            <w:pPr>
              <w:spacing w:after="20"/>
            </w:pPr>
            <w:r>
              <w:rPr>
                <w:sz w:val="14"/>
              </w:rPr>
              <w:t>Mass balance, food/feed safety and market validation.</w:t>
            </w:r>
          </w:p>
        </w:tc>
      </w:tr>
      <w:tr>
        <w:trPr>
          <w:cantSplit/>
        </w:trPr>
        <w:tc>
          <w:tcPr>
            <w:tcW w:type="dxa" w:w="2459"/>
            <w:tcMar>
              <w:top w:w="50" w:type="dxa"/>
              <w:start w:w="55" w:type="dxa"/>
              <w:bottom w:w="50" w:type="dxa"/>
              <w:end w:w="55" w:type="dxa"/>
            </w:tcMar>
            <w:vAlign w:val="top"/>
          </w:tcPr>
          <w:p>
            <w:pPr>
              <w:spacing w:after="20"/>
            </w:pPr>
            <w:r>
              <w:rPr>
                <w:sz w:val="14"/>
              </w:rPr>
              <w:t>Approved oilseeds</w:t>
            </w:r>
          </w:p>
        </w:tc>
        <w:tc>
          <w:tcPr>
            <w:tcW w:type="dxa" w:w="2459"/>
            <w:tcMar>
              <w:top w:w="50" w:type="dxa"/>
              <w:start w:w="55" w:type="dxa"/>
              <w:bottom w:w="50" w:type="dxa"/>
              <w:end w:w="55" w:type="dxa"/>
            </w:tcMar>
            <w:vAlign w:val="top"/>
          </w:tcPr>
          <w:p>
            <w:pPr>
              <w:spacing w:after="20"/>
            </w:pPr>
            <w:r>
              <w:rPr>
                <w:sz w:val="14"/>
              </w:rPr>
              <w:t>Renewable or industrial oil.</w:t>
            </w:r>
          </w:p>
        </w:tc>
        <w:tc>
          <w:tcPr>
            <w:tcW w:type="dxa" w:w="2459"/>
            <w:tcMar>
              <w:top w:w="50" w:type="dxa"/>
              <w:start w:w="55" w:type="dxa"/>
              <w:bottom w:w="50" w:type="dxa"/>
              <w:end w:w="55" w:type="dxa"/>
            </w:tcMar>
            <w:vAlign w:val="top"/>
          </w:tcPr>
          <w:p>
            <w:pPr>
              <w:spacing w:after="20"/>
            </w:pPr>
            <w:r>
              <w:rPr>
                <w:sz w:val="14"/>
              </w:rPr>
              <w:t>Press cake, biomass or soil inputs if lawful and safe.</w:t>
            </w:r>
          </w:p>
        </w:tc>
        <w:tc>
          <w:tcPr>
            <w:tcW w:type="dxa" w:w="2459"/>
            <w:tcMar>
              <w:top w:w="50" w:type="dxa"/>
              <w:start w:w="55" w:type="dxa"/>
              <w:bottom w:w="50" w:type="dxa"/>
              <w:end w:w="55" w:type="dxa"/>
            </w:tcMar>
            <w:vAlign w:val="top"/>
          </w:tcPr>
          <w:p>
            <w:pPr>
              <w:spacing w:after="20"/>
            </w:pPr>
            <w:r>
              <w:rPr>
                <w:sz w:val="14"/>
              </w:rPr>
              <w:t>Crop suitability, land, water, toxicity and co-product testing.</w:t>
            </w:r>
          </w:p>
        </w:tc>
      </w:tr>
      <w:tr>
        <w:trPr>
          <w:cantSplit/>
        </w:trPr>
        <w:tc>
          <w:tcPr>
            <w:tcW w:type="dxa" w:w="2459"/>
            <w:shd w:fill="F6F8FB"/>
            <w:tcMar>
              <w:top w:w="50" w:type="dxa"/>
              <w:start w:w="55" w:type="dxa"/>
              <w:bottom w:w="50" w:type="dxa"/>
              <w:end w:w="55" w:type="dxa"/>
            </w:tcMar>
            <w:vAlign w:val="top"/>
          </w:tcPr>
          <w:p>
            <w:pPr>
              <w:spacing w:after="20"/>
            </w:pPr>
            <w:r>
              <w:rPr>
                <w:sz w:val="14"/>
              </w:rPr>
              <w:t>Used cooking oil</w:t>
            </w:r>
          </w:p>
        </w:tc>
        <w:tc>
          <w:tcPr>
            <w:tcW w:type="dxa" w:w="2459"/>
            <w:shd w:fill="F6F8FB"/>
            <w:tcMar>
              <w:top w:w="50" w:type="dxa"/>
              <w:start w:w="55" w:type="dxa"/>
              <w:bottom w:w="50" w:type="dxa"/>
              <w:end w:w="55" w:type="dxa"/>
            </w:tcMar>
            <w:vAlign w:val="top"/>
          </w:tcPr>
          <w:p>
            <w:pPr>
              <w:spacing w:after="20"/>
            </w:pPr>
            <w:r>
              <w:rPr>
                <w:sz w:val="14"/>
              </w:rPr>
              <w:t>Recovered feedstock.</w:t>
            </w:r>
          </w:p>
        </w:tc>
        <w:tc>
          <w:tcPr>
            <w:tcW w:type="dxa" w:w="2459"/>
            <w:shd w:fill="F6F8FB"/>
            <w:tcMar>
              <w:top w:w="50" w:type="dxa"/>
              <w:start w:w="55" w:type="dxa"/>
              <w:bottom w:w="50" w:type="dxa"/>
              <w:end w:w="55" w:type="dxa"/>
            </w:tcMar>
            <w:vAlign w:val="top"/>
          </w:tcPr>
          <w:p>
            <w:pPr>
              <w:spacing w:after="20"/>
            </w:pPr>
            <w:r>
              <w:rPr>
                <w:sz w:val="14"/>
              </w:rPr>
              <w:t>Circular collection service and pollution reduction.</w:t>
            </w:r>
          </w:p>
        </w:tc>
        <w:tc>
          <w:tcPr>
            <w:tcW w:type="dxa" w:w="2459"/>
            <w:shd w:fill="F6F8FB"/>
            <w:tcMar>
              <w:top w:w="50" w:type="dxa"/>
              <w:start w:w="55" w:type="dxa"/>
              <w:bottom w:w="50" w:type="dxa"/>
              <w:end w:w="55" w:type="dxa"/>
            </w:tcMar>
            <w:vAlign w:val="top"/>
          </w:tcPr>
          <w:p>
            <w:pPr>
              <w:spacing w:after="20"/>
            </w:pPr>
            <w:r>
              <w:rPr>
                <w:sz w:val="14"/>
              </w:rPr>
              <w:t>Source controls, contamination testing, storage and transport safety.</w:t>
            </w:r>
          </w:p>
        </w:tc>
      </w:tr>
      <w:tr>
        <w:trPr>
          <w:cantSplit/>
        </w:trPr>
        <w:tc>
          <w:tcPr>
            <w:tcW w:type="dxa" w:w="2459"/>
            <w:tcMar>
              <w:top w:w="50" w:type="dxa"/>
              <w:start w:w="55" w:type="dxa"/>
              <w:bottom w:w="50" w:type="dxa"/>
              <w:end w:w="55" w:type="dxa"/>
            </w:tcMar>
            <w:vAlign w:val="top"/>
          </w:tcPr>
          <w:p>
            <w:pPr>
              <w:spacing w:after="20"/>
            </w:pPr>
            <w:r>
              <w:rPr>
                <w:sz w:val="14"/>
              </w:rPr>
              <w:t>Garment offcuts and returns</w:t>
            </w:r>
          </w:p>
        </w:tc>
        <w:tc>
          <w:tcPr>
            <w:tcW w:type="dxa" w:w="2459"/>
            <w:tcMar>
              <w:top w:w="50" w:type="dxa"/>
              <w:start w:w="55" w:type="dxa"/>
              <w:bottom w:w="50" w:type="dxa"/>
              <w:end w:w="55" w:type="dxa"/>
            </w:tcMar>
            <w:vAlign w:val="top"/>
          </w:tcPr>
          <w:p>
            <w:pPr>
              <w:spacing w:after="20"/>
            </w:pPr>
            <w:r>
              <w:rPr>
                <w:sz w:val="14"/>
              </w:rPr>
              <w:t>Reuse, redesign and repair.</w:t>
            </w:r>
          </w:p>
        </w:tc>
        <w:tc>
          <w:tcPr>
            <w:tcW w:type="dxa" w:w="2459"/>
            <w:tcMar>
              <w:top w:w="50" w:type="dxa"/>
              <w:start w:w="55" w:type="dxa"/>
              <w:bottom w:w="50" w:type="dxa"/>
              <w:end w:w="55" w:type="dxa"/>
            </w:tcMar>
            <w:vAlign w:val="top"/>
          </w:tcPr>
          <w:p>
            <w:pPr>
              <w:spacing w:after="20"/>
            </w:pPr>
            <w:r>
              <w:rPr>
                <w:sz w:val="14"/>
              </w:rPr>
              <w:t>Repurposing, recycling or controlled disposal.</w:t>
            </w:r>
          </w:p>
        </w:tc>
        <w:tc>
          <w:tcPr>
            <w:tcW w:type="dxa" w:w="2459"/>
            <w:tcMar>
              <w:top w:w="50" w:type="dxa"/>
              <w:start w:w="55" w:type="dxa"/>
              <w:bottom w:w="50" w:type="dxa"/>
              <w:end w:w="55" w:type="dxa"/>
            </w:tcMar>
            <w:vAlign w:val="top"/>
          </w:tcPr>
          <w:p>
            <w:pPr>
              <w:spacing w:after="20"/>
            </w:pPr>
            <w:r>
              <w:rPr>
                <w:sz w:val="14"/>
              </w:rPr>
              <w:t>Material identification and safe handling.</w:t>
            </w:r>
          </w:p>
        </w:tc>
      </w:tr>
      <w:tr>
        <w:trPr>
          <w:cantSplit/>
        </w:trPr>
        <w:tc>
          <w:tcPr>
            <w:tcW w:type="dxa" w:w="2459"/>
            <w:shd w:fill="F6F8FB"/>
            <w:tcMar>
              <w:top w:w="50" w:type="dxa"/>
              <w:start w:w="55" w:type="dxa"/>
              <w:bottom w:w="50" w:type="dxa"/>
              <w:end w:w="55" w:type="dxa"/>
            </w:tcMar>
            <w:vAlign w:val="top"/>
          </w:tcPr>
          <w:p>
            <w:pPr>
              <w:spacing w:after="20"/>
            </w:pPr>
            <w:r>
              <w:rPr>
                <w:sz w:val="14"/>
              </w:rPr>
              <w:t>Data and evidence</w:t>
            </w:r>
          </w:p>
        </w:tc>
        <w:tc>
          <w:tcPr>
            <w:tcW w:type="dxa" w:w="2459"/>
            <w:shd w:fill="F6F8FB"/>
            <w:tcMar>
              <w:top w:w="50" w:type="dxa"/>
              <w:start w:w="55" w:type="dxa"/>
              <w:bottom w:w="50" w:type="dxa"/>
              <w:end w:w="55" w:type="dxa"/>
            </w:tcMar>
            <w:vAlign w:val="top"/>
          </w:tcPr>
          <w:p>
            <w:pPr>
              <w:spacing w:after="20"/>
            </w:pPr>
            <w:r>
              <w:rPr>
                <w:sz w:val="14"/>
              </w:rPr>
              <w:t>Traceability and market access.</w:t>
            </w:r>
          </w:p>
        </w:tc>
        <w:tc>
          <w:tcPr>
            <w:tcW w:type="dxa" w:w="2459"/>
            <w:shd w:fill="F6F8FB"/>
            <w:tcMar>
              <w:top w:w="50" w:type="dxa"/>
              <w:start w:w="55" w:type="dxa"/>
              <w:bottom w:w="50" w:type="dxa"/>
              <w:end w:w="55" w:type="dxa"/>
            </w:tcMar>
            <w:vAlign w:val="top"/>
          </w:tcPr>
          <w:p>
            <w:pPr>
              <w:spacing w:after="20"/>
            </w:pPr>
            <w:r>
              <w:rPr>
                <w:sz w:val="14"/>
              </w:rPr>
              <w:t>Research, ESG learning and investment readiness.</w:t>
            </w:r>
          </w:p>
        </w:tc>
        <w:tc>
          <w:tcPr>
            <w:tcW w:type="dxa" w:w="2459"/>
            <w:shd w:fill="F6F8FB"/>
            <w:tcMar>
              <w:top w:w="50" w:type="dxa"/>
              <w:start w:w="55" w:type="dxa"/>
              <w:bottom w:w="50" w:type="dxa"/>
              <w:end w:w="55" w:type="dxa"/>
            </w:tcMar>
            <w:vAlign w:val="top"/>
          </w:tcPr>
          <w:p>
            <w:pPr>
              <w:spacing w:after="20"/>
            </w:pPr>
            <w:r>
              <w:rPr>
                <w:sz w:val="14"/>
              </w:rPr>
              <w:t>Consent, purpose limitation and confidentiality.</w:t>
            </w:r>
          </w:p>
        </w:tc>
      </w:tr>
    </w:tbl>
    <w:p>
      <w:pPr>
        <w:pStyle w:val="Heading1"/>
      </w:pPr>
      <w:r>
        <w:t>4. Digital Architecture and Interoperable Operating Systems</w:t>
      </w:r>
    </w:p>
    <w:p>
      <w:r>
        <w:t>During the project, AfriEuro Links acts as the shared market, evidence and integration layer. At project close, www.afrieurolinks.com becomes a global marketing and market-discovery platform presenting verified suppliers, products, services, buyer requirements, investment opportunities, knowledge and partnerships. Operational depth then continues through two independent but interoperable systems.</w:t>
      </w:r>
    </w:p>
    <w:tbl>
      <w:tblPr>
        <w:tblStyle w:val="TableGrid"/>
        <w:tblW w:type="auto" w:w="0"/>
        <w:jc w:val="center"/>
        <w:tblLayout w:type="autofit"/>
        <w:tblLook w:firstColumn="1" w:firstRow="1" w:lastColumn="0" w:lastRow="0" w:noHBand="0" w:noVBand="1" w:val="04A0"/>
      </w:tblPr>
      <w:tblGrid>
        <w:gridCol w:w="2459"/>
        <w:gridCol w:w="2459"/>
        <w:gridCol w:w="2459"/>
        <w:gridCol w:w="2459"/>
      </w:tblGrid>
      <w:tr>
        <w:trPr>
          <w:tblHeader w:val="true"/>
        </w:trPr>
        <w:tc>
          <w:tcPr>
            <w:tcW w:type="dxa" w:w="2459"/>
            <w:shd w:fill="17375E"/>
            <w:tcMar>
              <w:top w:w="55" w:type="dxa"/>
              <w:start w:w="60" w:type="dxa"/>
              <w:bottom w:w="55" w:type="dxa"/>
              <w:end w:w="60" w:type="dxa"/>
            </w:tcMar>
          </w:tcPr>
          <w:p>
            <w:pPr>
              <w:jc w:val="center"/>
            </w:pPr>
            <w:r>
              <w:rPr>
                <w:b/>
                <w:color w:val="FFFFFF"/>
                <w:sz w:val="14"/>
              </w:rPr>
              <w:t>System</w:t>
            </w:r>
          </w:p>
        </w:tc>
        <w:tc>
          <w:tcPr>
            <w:tcW w:type="dxa" w:w="2459"/>
            <w:shd w:fill="17375E"/>
            <w:tcMar>
              <w:top w:w="55" w:type="dxa"/>
              <w:start w:w="60" w:type="dxa"/>
              <w:bottom w:w="55" w:type="dxa"/>
              <w:end w:w="60" w:type="dxa"/>
            </w:tcMar>
          </w:tcPr>
          <w:p>
            <w:pPr>
              <w:jc w:val="center"/>
            </w:pPr>
            <w:r>
              <w:rPr>
                <w:b/>
                <w:color w:val="FFFFFF"/>
                <w:sz w:val="14"/>
              </w:rPr>
              <w:t>Operational scope</w:t>
            </w:r>
          </w:p>
        </w:tc>
        <w:tc>
          <w:tcPr>
            <w:tcW w:type="dxa" w:w="2459"/>
            <w:shd w:fill="17375E"/>
            <w:tcMar>
              <w:top w:w="55" w:type="dxa"/>
              <w:start w:w="60" w:type="dxa"/>
              <w:bottom w:w="55" w:type="dxa"/>
              <w:end w:w="60" w:type="dxa"/>
            </w:tcMar>
          </w:tcPr>
          <w:p>
            <w:pPr>
              <w:jc w:val="center"/>
            </w:pPr>
            <w:r>
              <w:rPr>
                <w:b/>
                <w:color w:val="FFFFFF"/>
                <w:sz w:val="14"/>
              </w:rPr>
              <w:t>Independence</w:t>
            </w:r>
          </w:p>
        </w:tc>
        <w:tc>
          <w:tcPr>
            <w:tcW w:type="dxa" w:w="2459"/>
            <w:shd w:fill="17375E"/>
            <w:tcMar>
              <w:top w:w="55" w:type="dxa"/>
              <w:start w:w="60" w:type="dxa"/>
              <w:bottom w:w="55" w:type="dxa"/>
              <w:end w:w="60" w:type="dxa"/>
            </w:tcMar>
          </w:tcPr>
          <w:p>
            <w:pPr>
              <w:jc w:val="center"/>
            </w:pPr>
            <w:r>
              <w:rPr>
                <w:b/>
                <w:color w:val="FFFFFF"/>
                <w:sz w:val="14"/>
              </w:rPr>
              <w:t>Interoperability</w:t>
            </w:r>
          </w:p>
        </w:tc>
      </w:tr>
      <w:tr>
        <w:trPr>
          <w:cantSplit/>
        </w:trPr>
        <w:tc>
          <w:tcPr>
            <w:tcW w:type="dxa" w:w="2459"/>
            <w:tcMar>
              <w:top w:w="50" w:type="dxa"/>
              <w:start w:w="55" w:type="dxa"/>
              <w:bottom w:w="50" w:type="dxa"/>
              <w:end w:w="55" w:type="dxa"/>
            </w:tcMar>
            <w:vAlign w:val="top"/>
          </w:tcPr>
          <w:p>
            <w:pPr>
              <w:spacing w:after="20"/>
            </w:pPr>
            <w:r>
              <w:rPr>
                <w:sz w:val="14"/>
              </w:rPr>
              <w:t>AfriEuro Links</w:t>
            </w:r>
          </w:p>
        </w:tc>
        <w:tc>
          <w:tcPr>
            <w:tcW w:type="dxa" w:w="2459"/>
            <w:tcMar>
              <w:top w:w="50" w:type="dxa"/>
              <w:start w:w="55" w:type="dxa"/>
              <w:bottom w:w="50" w:type="dxa"/>
              <w:end w:w="55" w:type="dxa"/>
            </w:tcMar>
            <w:vAlign w:val="top"/>
          </w:tcPr>
          <w:p>
            <w:pPr>
              <w:spacing w:after="20"/>
            </w:pPr>
            <w:r>
              <w:rPr>
                <w:sz w:val="14"/>
              </w:rPr>
              <w:t>Global marketing, supplier discovery, buyer engagement, evidence presentation, partnership and integration services.</w:t>
            </w:r>
          </w:p>
        </w:tc>
        <w:tc>
          <w:tcPr>
            <w:tcW w:type="dxa" w:w="2459"/>
            <w:tcMar>
              <w:top w:w="50" w:type="dxa"/>
              <w:start w:w="55" w:type="dxa"/>
              <w:bottom w:w="50" w:type="dxa"/>
              <w:end w:w="55" w:type="dxa"/>
            </w:tcMar>
            <w:vAlign w:val="top"/>
          </w:tcPr>
          <w:p>
            <w:pPr>
              <w:spacing w:after="20"/>
            </w:pPr>
            <w:r>
              <w:rPr>
                <w:sz w:val="14"/>
              </w:rPr>
              <w:t>Governed by Labl Group East Africa with controlled partner participation.</w:t>
            </w:r>
          </w:p>
        </w:tc>
        <w:tc>
          <w:tcPr>
            <w:tcW w:type="dxa" w:w="2459"/>
            <w:tcMar>
              <w:top w:w="50" w:type="dxa"/>
              <w:start w:w="55" w:type="dxa"/>
              <w:bottom w:w="50" w:type="dxa"/>
              <w:end w:w="55" w:type="dxa"/>
            </w:tcMar>
            <w:vAlign w:val="top"/>
          </w:tcPr>
          <w:p>
            <w:pPr>
              <w:spacing w:after="20"/>
            </w:pPr>
            <w:r>
              <w:rPr>
                <w:sz w:val="14"/>
              </w:rPr>
              <w:t>Approved interfaces to LaDOS, CEOS, buyers, public institutions and finance/weather partners.</w:t>
            </w:r>
          </w:p>
        </w:tc>
      </w:tr>
      <w:tr>
        <w:trPr>
          <w:cantSplit/>
        </w:trPr>
        <w:tc>
          <w:tcPr>
            <w:tcW w:type="dxa" w:w="2459"/>
            <w:shd w:fill="F6F8FB"/>
            <w:tcMar>
              <w:top w:w="50" w:type="dxa"/>
              <w:start w:w="55" w:type="dxa"/>
              <w:bottom w:w="50" w:type="dxa"/>
              <w:end w:w="55" w:type="dxa"/>
            </w:tcMar>
            <w:vAlign w:val="top"/>
          </w:tcPr>
          <w:p>
            <w:pPr>
              <w:spacing w:after="20"/>
            </w:pPr>
            <w:r>
              <w:rPr>
                <w:sz w:val="14"/>
              </w:rPr>
              <w:t>LaDOS - Labl Digital Operating System</w:t>
            </w:r>
          </w:p>
        </w:tc>
        <w:tc>
          <w:tcPr>
            <w:tcW w:type="dxa" w:w="2459"/>
            <w:shd w:fill="F6F8FB"/>
            <w:tcMar>
              <w:top w:w="50" w:type="dxa"/>
              <w:start w:w="55" w:type="dxa"/>
              <w:bottom w:w="50" w:type="dxa"/>
              <w:end w:w="55" w:type="dxa"/>
            </w:tcMar>
            <w:vAlign w:val="top"/>
          </w:tcPr>
          <w:p>
            <w:pPr>
              <w:spacing w:after="20"/>
            </w:pPr>
            <w:r>
              <w:rPr>
                <w:sz w:val="14"/>
              </w:rPr>
              <w:t>Farm-to-fashion operations: farmers, farms, agronomy, sourcing, production, quality, products, customers and circularity.</w:t>
            </w:r>
          </w:p>
        </w:tc>
        <w:tc>
          <w:tcPr>
            <w:tcW w:type="dxa" w:w="2459"/>
            <w:shd w:fill="F6F8FB"/>
            <w:tcMar>
              <w:top w:w="50" w:type="dxa"/>
              <w:start w:w="55" w:type="dxa"/>
              <w:bottom w:w="50" w:type="dxa"/>
              <w:end w:w="55" w:type="dxa"/>
            </w:tcMar>
            <w:vAlign w:val="top"/>
          </w:tcPr>
          <w:p>
            <w:pPr>
              <w:spacing w:after="20"/>
            </w:pPr>
            <w:r>
              <w:rPr>
                <w:sz w:val="14"/>
              </w:rPr>
              <w:t>Separate Labl governance, data controller roles, security, budgets and operating teams.</w:t>
            </w:r>
          </w:p>
        </w:tc>
        <w:tc>
          <w:tcPr>
            <w:tcW w:type="dxa" w:w="2459"/>
            <w:shd w:fill="F6F8FB"/>
            <w:tcMar>
              <w:top w:w="50" w:type="dxa"/>
              <w:start w:w="55" w:type="dxa"/>
              <w:bottom w:w="50" w:type="dxa"/>
              <w:end w:w="55" w:type="dxa"/>
            </w:tcMar>
            <w:vAlign w:val="top"/>
          </w:tcPr>
          <w:p>
            <w:pPr>
              <w:spacing w:after="20"/>
            </w:pPr>
            <w:r>
              <w:rPr>
                <w:sz w:val="14"/>
              </w:rPr>
              <w:t>Shares approved identifiers, lots, orders, payments and evidence through APIs and consent.</w:t>
            </w:r>
          </w:p>
        </w:tc>
      </w:tr>
      <w:tr>
        <w:trPr>
          <w:cantSplit/>
        </w:trPr>
        <w:tc>
          <w:tcPr>
            <w:tcW w:type="dxa" w:w="2459"/>
            <w:tcMar>
              <w:top w:w="50" w:type="dxa"/>
              <w:start w:w="55" w:type="dxa"/>
              <w:bottom w:w="50" w:type="dxa"/>
              <w:end w:w="55" w:type="dxa"/>
            </w:tcMar>
            <w:vAlign w:val="top"/>
          </w:tcPr>
          <w:p>
            <w:pPr>
              <w:spacing w:after="20"/>
            </w:pPr>
            <w:r>
              <w:rPr>
                <w:sz w:val="14"/>
              </w:rPr>
              <w:t>CEOS - Crostar Energy Operating System</w:t>
            </w:r>
          </w:p>
        </w:tc>
        <w:tc>
          <w:tcPr>
            <w:tcW w:type="dxa" w:w="2459"/>
            <w:tcMar>
              <w:top w:w="50" w:type="dxa"/>
              <w:start w:w="55" w:type="dxa"/>
              <w:bottom w:w="50" w:type="dxa"/>
              <w:end w:w="55" w:type="dxa"/>
            </w:tcMar>
            <w:vAlign w:val="top"/>
          </w:tcPr>
          <w:p>
            <w:pPr>
              <w:spacing w:after="20"/>
            </w:pPr>
            <w:r>
              <w:rPr>
                <w:sz w:val="14"/>
              </w:rPr>
              <w:t>Feedstock, UCO, logistics, extraction, process control, quality, HSE, ESG and energy-market operations.</w:t>
            </w:r>
          </w:p>
        </w:tc>
        <w:tc>
          <w:tcPr>
            <w:tcW w:type="dxa" w:w="2459"/>
            <w:tcMar>
              <w:top w:w="50" w:type="dxa"/>
              <w:start w:w="55" w:type="dxa"/>
              <w:bottom w:w="50" w:type="dxa"/>
              <w:end w:w="55" w:type="dxa"/>
            </w:tcMar>
            <w:vAlign w:val="top"/>
          </w:tcPr>
          <w:p>
            <w:pPr>
              <w:spacing w:after="20"/>
            </w:pPr>
            <w:r>
              <w:rPr>
                <w:sz w:val="14"/>
              </w:rPr>
              <w:t>Separate Crostar governance, data controller roles, security, budgets and operating teams.</w:t>
            </w:r>
          </w:p>
        </w:tc>
        <w:tc>
          <w:tcPr>
            <w:tcW w:type="dxa" w:w="2459"/>
            <w:tcMar>
              <w:top w:w="50" w:type="dxa"/>
              <w:start w:w="55" w:type="dxa"/>
              <w:bottom w:w="50" w:type="dxa"/>
              <w:end w:w="55" w:type="dxa"/>
            </w:tcMar>
            <w:vAlign w:val="top"/>
          </w:tcPr>
          <w:p>
            <w:pPr>
              <w:spacing w:after="20"/>
            </w:pPr>
            <w:r>
              <w:rPr>
                <w:sz w:val="14"/>
              </w:rPr>
              <w:t>Shares approved feedstock, lot, transaction and evidence data through APIs and agreements.</w:t>
            </w:r>
          </w:p>
        </w:tc>
      </w:tr>
    </w:tbl>
    <w:p>
      <w:pPr>
        <w:pStyle w:val="ListBullet"/>
        <w:spacing w:after="50"/>
      </w:pPr>
      <w:r>
        <w:t>API-first, modular and offline-capable design.</w:t>
      </w:r>
    </w:p>
    <w:p>
      <w:pPr>
        <w:pStyle w:val="ListBullet"/>
        <w:spacing w:after="50"/>
      </w:pPr>
      <w:r>
        <w:t>Common taxonomies for participants, organisations, locations, lots, products, payments, evidence and claims.</w:t>
      </w:r>
    </w:p>
    <w:p>
      <w:pPr>
        <w:pStyle w:val="ListBullet"/>
        <w:spacing w:after="50"/>
      </w:pPr>
      <w:r>
        <w:t>Data portability, audit logs and documented intellectual-property rights.</w:t>
      </w:r>
    </w:p>
    <w:p>
      <w:pPr>
        <w:pStyle w:val="ListBullet"/>
        <w:spacing w:after="50"/>
      </w:pPr>
      <w:r>
        <w:t>Consent and purpose limitation for cross-system exchange.</w:t>
      </w:r>
    </w:p>
    <w:p>
      <w:pPr>
        <w:pStyle w:val="ListBullet"/>
        <w:spacing w:after="50"/>
      </w:pPr>
      <w:r>
        <w:t>No unrestricted centralisation of personal or commercially confidential data.</w:t>
      </w:r>
    </w:p>
    <w:p>
      <w:pPr>
        <w:pStyle w:val="ListBullet"/>
        <w:spacing w:after="50"/>
      </w:pPr>
      <w:r>
        <w:t>Versioned interfaces and service-level agreements to prevent operational dependency.</w:t>
      </w:r>
    </w:p>
    <w:p>
      <w:pPr>
        <w:pStyle w:val="Heading1"/>
      </w:pPr>
      <w:r>
        <w:t>5. Technology and Sustainability Capabilities</w:t>
      </w:r>
    </w:p>
    <w:p>
      <w:pPr>
        <w:pStyle w:val="Heading2"/>
      </w:pPr>
      <w:r>
        <w:t>5.1 AI-supported operational systems</w:t>
      </w:r>
    </w:p>
    <w:p>
      <w:r>
        <w:t>AI should be applied where outcomes can be tested against real operations. Appropriate uses include yield and delivery forecasts, weather-risk interpretation, quality screening, anomaly detection, payment exception prioritisation, demand planning, buyer matching, preventive maintenance and approved knowledge assistance. Each model requires a documented purpose, owner, input data, performance measure, risk classification, review process and override route.</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4"/>
              </w:rPr>
              <w:t>AI governance question</w:t>
            </w:r>
          </w:p>
        </w:tc>
        <w:tc>
          <w:tcPr>
            <w:tcW w:type="dxa" w:w="4917"/>
            <w:shd w:fill="17375E"/>
            <w:tcMar>
              <w:top w:w="55" w:type="dxa"/>
              <w:start w:w="60" w:type="dxa"/>
              <w:bottom w:w="55" w:type="dxa"/>
              <w:end w:w="60" w:type="dxa"/>
            </w:tcMar>
          </w:tcPr>
          <w:p>
            <w:pPr>
              <w:jc w:val="center"/>
            </w:pPr>
            <w:r>
              <w:rPr>
                <w:b/>
                <w:color w:val="FFFFFF"/>
                <w:sz w:val="14"/>
              </w:rPr>
              <w:t>Required answer</w:t>
            </w:r>
          </w:p>
        </w:tc>
      </w:tr>
      <w:tr>
        <w:trPr>
          <w:cantSplit/>
        </w:trPr>
        <w:tc>
          <w:tcPr>
            <w:tcW w:type="dxa" w:w="4917"/>
            <w:tcMar>
              <w:top w:w="50" w:type="dxa"/>
              <w:start w:w="55" w:type="dxa"/>
              <w:bottom w:w="50" w:type="dxa"/>
              <w:end w:w="55" w:type="dxa"/>
            </w:tcMar>
            <w:vAlign w:val="top"/>
          </w:tcPr>
          <w:p>
            <w:pPr>
              <w:spacing w:after="20"/>
            </w:pPr>
            <w:r>
              <w:rPr>
                <w:sz w:val="14"/>
              </w:rPr>
              <w:t>What decision is supported?</w:t>
            </w:r>
          </w:p>
        </w:tc>
        <w:tc>
          <w:tcPr>
            <w:tcW w:type="dxa" w:w="4917"/>
            <w:tcMar>
              <w:top w:w="50" w:type="dxa"/>
              <w:start w:w="55" w:type="dxa"/>
              <w:bottom w:w="50" w:type="dxa"/>
              <w:end w:w="55" w:type="dxa"/>
            </w:tcMar>
            <w:vAlign w:val="top"/>
          </w:tcPr>
          <w:p>
            <w:pPr>
              <w:spacing w:after="20"/>
            </w:pPr>
            <w:r>
              <w:rPr>
                <w:sz w:val="14"/>
              </w:rPr>
              <w:t>A specific operational decision, not a vague promise of optimisation.</w:t>
            </w:r>
          </w:p>
        </w:tc>
      </w:tr>
      <w:tr>
        <w:trPr>
          <w:cantSplit/>
        </w:trPr>
        <w:tc>
          <w:tcPr>
            <w:tcW w:type="dxa" w:w="4917"/>
            <w:shd w:fill="F6F8FB"/>
            <w:tcMar>
              <w:top w:w="50" w:type="dxa"/>
              <w:start w:w="55" w:type="dxa"/>
              <w:bottom w:w="50" w:type="dxa"/>
              <w:end w:w="55" w:type="dxa"/>
            </w:tcMar>
            <w:vAlign w:val="top"/>
          </w:tcPr>
          <w:p>
            <w:pPr>
              <w:spacing w:after="20"/>
            </w:pPr>
            <w:r>
              <w:rPr>
                <w:sz w:val="14"/>
              </w:rPr>
              <w:t>Who remains accountable?</w:t>
            </w:r>
          </w:p>
        </w:tc>
        <w:tc>
          <w:tcPr>
            <w:tcW w:type="dxa" w:w="4917"/>
            <w:shd w:fill="F6F8FB"/>
            <w:tcMar>
              <w:top w:w="50" w:type="dxa"/>
              <w:start w:w="55" w:type="dxa"/>
              <w:bottom w:w="50" w:type="dxa"/>
              <w:end w:w="55" w:type="dxa"/>
            </w:tcMar>
            <w:vAlign w:val="top"/>
          </w:tcPr>
          <w:p>
            <w:pPr>
              <w:spacing w:after="20"/>
            </w:pPr>
            <w:r>
              <w:rPr>
                <w:sz w:val="14"/>
              </w:rPr>
              <w:t>A named manager, agronomist, quality officer, finance approver or governance body.</w:t>
            </w:r>
          </w:p>
        </w:tc>
      </w:tr>
      <w:tr>
        <w:trPr>
          <w:cantSplit/>
        </w:trPr>
        <w:tc>
          <w:tcPr>
            <w:tcW w:type="dxa" w:w="4917"/>
            <w:tcMar>
              <w:top w:w="50" w:type="dxa"/>
              <w:start w:w="55" w:type="dxa"/>
              <w:bottom w:w="50" w:type="dxa"/>
              <w:end w:w="55" w:type="dxa"/>
            </w:tcMar>
            <w:vAlign w:val="top"/>
          </w:tcPr>
          <w:p>
            <w:pPr>
              <w:spacing w:after="20"/>
            </w:pPr>
            <w:r>
              <w:rPr>
                <w:sz w:val="14"/>
              </w:rPr>
              <w:t>How is performance tested?</w:t>
            </w:r>
          </w:p>
        </w:tc>
        <w:tc>
          <w:tcPr>
            <w:tcW w:type="dxa" w:w="4917"/>
            <w:tcMar>
              <w:top w:w="50" w:type="dxa"/>
              <w:start w:w="55" w:type="dxa"/>
              <w:bottom w:w="50" w:type="dxa"/>
              <w:end w:w="55" w:type="dxa"/>
            </w:tcMar>
            <w:vAlign w:val="top"/>
          </w:tcPr>
          <w:p>
            <w:pPr>
              <w:spacing w:after="20"/>
            </w:pPr>
            <w:r>
              <w:rPr>
                <w:sz w:val="14"/>
              </w:rPr>
              <w:t>Back-testing, validation samples, precision/recall or error ranges appropriate to the use case.</w:t>
            </w:r>
          </w:p>
        </w:tc>
      </w:tr>
      <w:tr>
        <w:trPr>
          <w:cantSplit/>
        </w:trPr>
        <w:tc>
          <w:tcPr>
            <w:tcW w:type="dxa" w:w="4917"/>
            <w:shd w:fill="F6F8FB"/>
            <w:tcMar>
              <w:top w:w="50" w:type="dxa"/>
              <w:start w:w="55" w:type="dxa"/>
              <w:bottom w:w="50" w:type="dxa"/>
              <w:end w:w="55" w:type="dxa"/>
            </w:tcMar>
            <w:vAlign w:val="top"/>
          </w:tcPr>
          <w:p>
            <w:pPr>
              <w:spacing w:after="20"/>
            </w:pPr>
            <w:r>
              <w:rPr>
                <w:sz w:val="14"/>
              </w:rPr>
              <w:t>What happens when the model is wrong?</w:t>
            </w:r>
          </w:p>
        </w:tc>
        <w:tc>
          <w:tcPr>
            <w:tcW w:type="dxa" w:w="4917"/>
            <w:shd w:fill="F6F8FB"/>
            <w:tcMar>
              <w:top w:w="50" w:type="dxa"/>
              <w:start w:w="55" w:type="dxa"/>
              <w:bottom w:w="50" w:type="dxa"/>
              <w:end w:w="55" w:type="dxa"/>
            </w:tcMar>
            <w:vAlign w:val="top"/>
          </w:tcPr>
          <w:p>
            <w:pPr>
              <w:spacing w:after="20"/>
            </w:pPr>
            <w:r>
              <w:rPr>
                <w:sz w:val="14"/>
              </w:rPr>
              <w:t>Human review, override, correction, appeal and incident learning.</w:t>
            </w:r>
          </w:p>
        </w:tc>
      </w:tr>
      <w:tr>
        <w:trPr>
          <w:cantSplit/>
        </w:trPr>
        <w:tc>
          <w:tcPr>
            <w:tcW w:type="dxa" w:w="4917"/>
            <w:tcMar>
              <w:top w:w="50" w:type="dxa"/>
              <w:start w:w="55" w:type="dxa"/>
              <w:bottom w:w="50" w:type="dxa"/>
              <w:end w:w="55" w:type="dxa"/>
            </w:tcMar>
            <w:vAlign w:val="top"/>
          </w:tcPr>
          <w:p>
            <w:pPr>
              <w:spacing w:after="20"/>
            </w:pPr>
            <w:r>
              <w:rPr>
                <w:sz w:val="14"/>
              </w:rPr>
              <w:t>Could the model unfairly exclude people?</w:t>
            </w:r>
          </w:p>
        </w:tc>
        <w:tc>
          <w:tcPr>
            <w:tcW w:type="dxa" w:w="4917"/>
            <w:tcMar>
              <w:top w:w="50" w:type="dxa"/>
              <w:start w:w="55" w:type="dxa"/>
              <w:bottom w:w="50" w:type="dxa"/>
              <w:end w:w="55" w:type="dxa"/>
            </w:tcMar>
            <w:vAlign w:val="top"/>
          </w:tcPr>
          <w:p>
            <w:pPr>
              <w:spacing w:after="20"/>
            </w:pPr>
            <w:r>
              <w:rPr>
                <w:sz w:val="14"/>
              </w:rPr>
              <w:t>Bias and proxy-variable review, accessible correction and prohibition of automatic high-impact exclusion.</w:t>
            </w:r>
          </w:p>
        </w:tc>
      </w:tr>
      <w:tr>
        <w:trPr>
          <w:cantSplit/>
        </w:trPr>
        <w:tc>
          <w:tcPr>
            <w:tcW w:type="dxa" w:w="4917"/>
            <w:shd w:fill="F6F8FB"/>
            <w:tcMar>
              <w:top w:w="50" w:type="dxa"/>
              <w:start w:w="55" w:type="dxa"/>
              <w:bottom w:w="50" w:type="dxa"/>
              <w:end w:w="55" w:type="dxa"/>
            </w:tcMar>
            <w:vAlign w:val="top"/>
          </w:tcPr>
          <w:p>
            <w:pPr>
              <w:spacing w:after="20"/>
            </w:pPr>
            <w:r>
              <w:rPr>
                <w:sz w:val="14"/>
              </w:rPr>
              <w:t>Is the data lawful and adequate?</w:t>
            </w:r>
          </w:p>
        </w:tc>
        <w:tc>
          <w:tcPr>
            <w:tcW w:type="dxa" w:w="4917"/>
            <w:shd w:fill="F6F8FB"/>
            <w:tcMar>
              <w:top w:w="50" w:type="dxa"/>
              <w:start w:w="55" w:type="dxa"/>
              <w:bottom w:w="50" w:type="dxa"/>
              <w:end w:w="55" w:type="dxa"/>
            </w:tcMar>
            <w:vAlign w:val="top"/>
          </w:tcPr>
          <w:p>
            <w:pPr>
              <w:spacing w:after="20"/>
            </w:pPr>
            <w:r>
              <w:rPr>
                <w:sz w:val="14"/>
              </w:rPr>
              <w:t>Purpose, consent or lawful basis, quality, retention, security and source documentation.</w:t>
            </w:r>
          </w:p>
        </w:tc>
      </w:tr>
    </w:tbl>
    <w:p>
      <w:pPr>
        <w:pStyle w:val="Heading2"/>
      </w:pPr>
      <w:r>
        <w:t>5.2 GIS and environmental mapping</w:t>
      </w:r>
    </w:p>
    <w:p>
      <w:r>
        <w:t>GIS provides the spatial backbone for farm boundaries, land-use planning, environmental screening, weather matching, infrastructure, aggregation routes, water analysis, incident management and investment planning. Mapping should identify uncertainty and must not be used to resolve land ownership or eligibility without lawful verification. Sensitive locations require restricted access.</w:t>
      </w:r>
    </w:p>
    <w:p>
      <w:pPr>
        <w:pStyle w:val="Heading2"/>
      </w:pPr>
      <w:r>
        <w:t>5.3 Traceability technology</w:t>
      </w:r>
    </w:p>
    <w:p>
      <w:r>
        <w:t>Traceability connects identity, location, production, quality, custody, transformation, contract and payment evidence. It supports recall, buyer due diligence, responsible claims and dispute resolution. Traceability is strongest when it records exceptions and corrections rather than presenting a false appearance of perfect data.</w:t>
      </w:r>
    </w:p>
    <w:p>
      <w:pPr>
        <w:pStyle w:val="Heading2"/>
      </w:pPr>
      <w:r>
        <w:t>5.4 ESG reporting</w:t>
      </w:r>
    </w:p>
    <w:p>
      <w:r>
        <w:t>The ESG framework should combine operational indicators with governance and participant experience. Environmental indicators may include mapped practice adoption, soil and water observations, inputs, energy, waste, incidents and mitigation. Social indicators should cover payment, labour, inclusion, safeguarding, training, grievances and benefit. Governance indicators should cover approvals, audits, conflicts, data protection, model oversight and corrective action.</w:t>
      </w:r>
    </w:p>
    <w:p>
      <w:pPr>
        <w:pStyle w:val="Heading2"/>
      </w:pPr>
      <w:r>
        <w:t>5.5 Climate-finance systems</w:t>
      </w:r>
    </w:p>
    <w:p>
      <w:r>
        <w:t>Climate-finance readiness requires a credible baseline, additionality, methodology, monitoring plan, leakage and permanence analysis where relevant, verification, safeguards and transparent benefit sharing. AfriEuro Links can organise data and evidence, but it cannot convert ordinary business activity into a financeable climate asset without an approved methodology and independent assessment. Potential instruments include grants, blended finance, sustainability-linked facilities, green working capital, guarantees and, where genuinely eligible, verified environmental attributes.</w:t>
      </w:r>
    </w:p>
    <w:p>
      <w:pPr>
        <w:pStyle w:val="Heading1"/>
      </w:pPr>
      <w:r>
        <w:t>6. Payments, Weather Intelligence and Data Governance</w:t>
      </w:r>
    </w:p>
    <w:p>
      <w:pPr>
        <w:pStyle w:val="Heading2"/>
      </w:pPr>
      <w:r>
        <w:t>6.1 Provider-neutral payment architecture</w:t>
      </w:r>
    </w:p>
    <w:p>
      <w:r>
        <w:t>Responsible sourcing includes responsible settlement. Participants should be able to choose among authorised mobile-money services, linked bank accounts and other approved channels. Licensed payment gateways may support buyer collections, while sponsor-bank and real-time transfer integrations may support account settlement. The platform orchestrates approved instructions and reconciliation; it does not hold funds unless a licensed legal structure is established.</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Payment stage</w:t>
            </w:r>
          </w:p>
        </w:tc>
        <w:tc>
          <w:tcPr>
            <w:tcW w:type="dxa" w:w="3278"/>
            <w:shd w:fill="17375E"/>
            <w:tcMar>
              <w:top w:w="55" w:type="dxa"/>
              <w:start w:w="60" w:type="dxa"/>
              <w:bottom w:w="55" w:type="dxa"/>
              <w:end w:w="60" w:type="dxa"/>
            </w:tcMar>
          </w:tcPr>
          <w:p>
            <w:pPr>
              <w:jc w:val="center"/>
            </w:pPr>
            <w:r>
              <w:rPr>
                <w:b/>
                <w:color w:val="FFFFFF"/>
                <w:sz w:val="14"/>
              </w:rPr>
              <w:t>System evidence</w:t>
            </w:r>
          </w:p>
        </w:tc>
        <w:tc>
          <w:tcPr>
            <w:tcW w:type="dxa" w:w="3278"/>
            <w:shd w:fill="17375E"/>
            <w:tcMar>
              <w:top w:w="55" w:type="dxa"/>
              <w:start w:w="60" w:type="dxa"/>
              <w:bottom w:w="55" w:type="dxa"/>
              <w:end w:w="60" w:type="dxa"/>
            </w:tcMar>
          </w:tcPr>
          <w:p>
            <w:pPr>
              <w:jc w:val="center"/>
            </w:pPr>
            <w:r>
              <w:rPr>
                <w:b/>
                <w:color w:val="FFFFFF"/>
                <w:sz w:val="14"/>
              </w:rPr>
              <w:t>Control</w:t>
            </w:r>
          </w:p>
        </w:tc>
      </w:tr>
      <w:tr>
        <w:trPr>
          <w:cantSplit/>
        </w:trPr>
        <w:tc>
          <w:tcPr>
            <w:tcW w:type="dxa" w:w="3278"/>
            <w:tcMar>
              <w:top w:w="50" w:type="dxa"/>
              <w:start w:w="55" w:type="dxa"/>
              <w:bottom w:w="50" w:type="dxa"/>
              <w:end w:w="55" w:type="dxa"/>
            </w:tcMar>
            <w:vAlign w:val="top"/>
          </w:tcPr>
          <w:p>
            <w:pPr>
              <w:spacing w:after="20"/>
            </w:pPr>
            <w:r>
              <w:rPr>
                <w:sz w:val="14"/>
              </w:rPr>
              <w:t>Entitlement</w:t>
            </w:r>
          </w:p>
        </w:tc>
        <w:tc>
          <w:tcPr>
            <w:tcW w:type="dxa" w:w="3278"/>
            <w:tcMar>
              <w:top w:w="50" w:type="dxa"/>
              <w:start w:w="55" w:type="dxa"/>
              <w:bottom w:w="50" w:type="dxa"/>
              <w:end w:w="55" w:type="dxa"/>
            </w:tcMar>
            <w:vAlign w:val="top"/>
          </w:tcPr>
          <w:p>
            <w:pPr>
              <w:spacing w:after="20"/>
            </w:pPr>
            <w:r>
              <w:rPr>
                <w:sz w:val="14"/>
              </w:rPr>
              <w:t>Approved delivery, invoice, contract or grant milestone.</w:t>
            </w:r>
          </w:p>
        </w:tc>
        <w:tc>
          <w:tcPr>
            <w:tcW w:type="dxa" w:w="3278"/>
            <w:tcMar>
              <w:top w:w="50" w:type="dxa"/>
              <w:start w:w="55" w:type="dxa"/>
              <w:bottom w:w="50" w:type="dxa"/>
              <w:end w:w="55" w:type="dxa"/>
            </w:tcMar>
            <w:vAlign w:val="top"/>
          </w:tcPr>
          <w:p>
            <w:pPr>
              <w:spacing w:after="20"/>
            </w:pPr>
            <w:r>
              <w:rPr>
                <w:sz w:val="14"/>
              </w:rPr>
              <w:t>No payment without underlying evidence.</w:t>
            </w:r>
          </w:p>
        </w:tc>
      </w:tr>
      <w:tr>
        <w:trPr>
          <w:cantSplit/>
        </w:trPr>
        <w:tc>
          <w:tcPr>
            <w:tcW w:type="dxa" w:w="3278"/>
            <w:shd w:fill="F6F8FB"/>
            <w:tcMar>
              <w:top w:w="50" w:type="dxa"/>
              <w:start w:w="55" w:type="dxa"/>
              <w:bottom w:w="50" w:type="dxa"/>
              <w:end w:w="55" w:type="dxa"/>
            </w:tcMar>
            <w:vAlign w:val="top"/>
          </w:tcPr>
          <w:p>
            <w:pPr>
              <w:spacing w:after="20"/>
            </w:pPr>
            <w:r>
              <w:rPr>
                <w:sz w:val="14"/>
              </w:rPr>
              <w:t>Instruction</w:t>
            </w:r>
          </w:p>
        </w:tc>
        <w:tc>
          <w:tcPr>
            <w:tcW w:type="dxa" w:w="3278"/>
            <w:shd w:fill="F6F8FB"/>
            <w:tcMar>
              <w:top w:w="50" w:type="dxa"/>
              <w:start w:w="55" w:type="dxa"/>
              <w:bottom w:w="50" w:type="dxa"/>
              <w:end w:w="55" w:type="dxa"/>
            </w:tcMar>
            <w:vAlign w:val="top"/>
          </w:tcPr>
          <w:p>
            <w:pPr>
              <w:spacing w:after="20"/>
            </w:pPr>
            <w:r>
              <w:rPr>
                <w:sz w:val="14"/>
              </w:rPr>
              <w:t>Beneficiary, channel, amount, purpose, reference and approvals.</w:t>
            </w:r>
          </w:p>
        </w:tc>
        <w:tc>
          <w:tcPr>
            <w:tcW w:type="dxa" w:w="3278"/>
            <w:shd w:fill="F6F8FB"/>
            <w:tcMar>
              <w:top w:w="50" w:type="dxa"/>
              <w:start w:w="55" w:type="dxa"/>
              <w:bottom w:w="50" w:type="dxa"/>
              <w:end w:w="55" w:type="dxa"/>
            </w:tcMar>
            <w:vAlign w:val="top"/>
          </w:tcPr>
          <w:p>
            <w:pPr>
              <w:spacing w:after="20"/>
            </w:pPr>
            <w:r>
              <w:rPr>
                <w:sz w:val="14"/>
              </w:rPr>
              <w:t>Maker-checker, beneficiary verification and limits.</w:t>
            </w:r>
          </w:p>
        </w:tc>
      </w:tr>
      <w:tr>
        <w:trPr>
          <w:cantSplit/>
        </w:trPr>
        <w:tc>
          <w:tcPr>
            <w:tcW w:type="dxa" w:w="3278"/>
            <w:tcMar>
              <w:top w:w="50" w:type="dxa"/>
              <w:start w:w="55" w:type="dxa"/>
              <w:bottom w:w="50" w:type="dxa"/>
              <w:end w:w="55" w:type="dxa"/>
            </w:tcMar>
            <w:vAlign w:val="top"/>
          </w:tcPr>
          <w:p>
            <w:pPr>
              <w:spacing w:after="20"/>
            </w:pPr>
            <w:r>
              <w:rPr>
                <w:sz w:val="14"/>
              </w:rPr>
              <w:t>Execution</w:t>
            </w:r>
          </w:p>
        </w:tc>
        <w:tc>
          <w:tcPr>
            <w:tcW w:type="dxa" w:w="3278"/>
            <w:tcMar>
              <w:top w:w="50" w:type="dxa"/>
              <w:start w:w="55" w:type="dxa"/>
              <w:bottom w:w="50" w:type="dxa"/>
              <w:end w:w="55" w:type="dxa"/>
            </w:tcMar>
            <w:vAlign w:val="top"/>
          </w:tcPr>
          <w:p>
            <w:pPr>
              <w:spacing w:after="20"/>
            </w:pPr>
            <w:r>
              <w:rPr>
                <w:sz w:val="14"/>
              </w:rPr>
              <w:t>Provider request, response and unique transaction reference.</w:t>
            </w:r>
          </w:p>
        </w:tc>
        <w:tc>
          <w:tcPr>
            <w:tcW w:type="dxa" w:w="3278"/>
            <w:tcMar>
              <w:top w:w="50" w:type="dxa"/>
              <w:start w:w="55" w:type="dxa"/>
              <w:bottom w:w="50" w:type="dxa"/>
              <w:end w:w="55" w:type="dxa"/>
            </w:tcMar>
            <w:vAlign w:val="top"/>
          </w:tcPr>
          <w:p>
            <w:pPr>
              <w:spacing w:after="20"/>
            </w:pPr>
            <w:r>
              <w:rPr>
                <w:sz w:val="14"/>
              </w:rPr>
              <w:t>Encryption, idempotency, retries and provider controls.</w:t>
            </w:r>
          </w:p>
        </w:tc>
      </w:tr>
      <w:tr>
        <w:trPr>
          <w:cantSplit/>
        </w:trPr>
        <w:tc>
          <w:tcPr>
            <w:tcW w:type="dxa" w:w="3278"/>
            <w:shd w:fill="F6F8FB"/>
            <w:tcMar>
              <w:top w:w="50" w:type="dxa"/>
              <w:start w:w="55" w:type="dxa"/>
              <w:bottom w:w="50" w:type="dxa"/>
              <w:end w:w="55" w:type="dxa"/>
            </w:tcMar>
            <w:vAlign w:val="top"/>
          </w:tcPr>
          <w:p>
            <w:pPr>
              <w:spacing w:after="20"/>
            </w:pPr>
            <w:r>
              <w:rPr>
                <w:sz w:val="14"/>
              </w:rPr>
              <w:t>Confirmation</w:t>
            </w:r>
          </w:p>
        </w:tc>
        <w:tc>
          <w:tcPr>
            <w:tcW w:type="dxa" w:w="3278"/>
            <w:shd w:fill="F6F8FB"/>
            <w:tcMar>
              <w:top w:w="50" w:type="dxa"/>
              <w:start w:w="55" w:type="dxa"/>
              <w:bottom w:w="50" w:type="dxa"/>
              <w:end w:w="55" w:type="dxa"/>
            </w:tcMar>
            <w:vAlign w:val="top"/>
          </w:tcPr>
          <w:p>
            <w:pPr>
              <w:spacing w:after="20"/>
            </w:pPr>
            <w:r>
              <w:rPr>
                <w:sz w:val="14"/>
              </w:rPr>
              <w:t>Wallet or bank status and participant remittance notice.</w:t>
            </w:r>
          </w:p>
        </w:tc>
        <w:tc>
          <w:tcPr>
            <w:tcW w:type="dxa" w:w="3278"/>
            <w:shd w:fill="F6F8FB"/>
            <w:tcMar>
              <w:top w:w="50" w:type="dxa"/>
              <w:start w:w="55" w:type="dxa"/>
              <w:bottom w:w="50" w:type="dxa"/>
              <w:end w:w="55" w:type="dxa"/>
            </w:tcMar>
            <w:vAlign w:val="top"/>
          </w:tcPr>
          <w:p>
            <w:pPr>
              <w:spacing w:after="20"/>
            </w:pPr>
            <w:r>
              <w:rPr>
                <w:sz w:val="14"/>
              </w:rPr>
              <w:t>Accessible notification and confidentiality.</w:t>
            </w:r>
          </w:p>
        </w:tc>
      </w:tr>
      <w:tr>
        <w:trPr>
          <w:cantSplit/>
        </w:trPr>
        <w:tc>
          <w:tcPr>
            <w:tcW w:type="dxa" w:w="3278"/>
            <w:tcMar>
              <w:top w:w="50" w:type="dxa"/>
              <w:start w:w="55" w:type="dxa"/>
              <w:bottom w:w="50" w:type="dxa"/>
              <w:end w:w="55" w:type="dxa"/>
            </w:tcMar>
            <w:vAlign w:val="top"/>
          </w:tcPr>
          <w:p>
            <w:pPr>
              <w:spacing w:after="20"/>
            </w:pPr>
            <w:r>
              <w:rPr>
                <w:sz w:val="14"/>
              </w:rPr>
              <w:t>Reconciliation</w:t>
            </w:r>
          </w:p>
        </w:tc>
        <w:tc>
          <w:tcPr>
            <w:tcW w:type="dxa" w:w="3278"/>
            <w:tcMar>
              <w:top w:w="50" w:type="dxa"/>
              <w:start w:w="55" w:type="dxa"/>
              <w:bottom w:w="50" w:type="dxa"/>
              <w:end w:w="55" w:type="dxa"/>
            </w:tcMar>
            <w:vAlign w:val="top"/>
          </w:tcPr>
          <w:p>
            <w:pPr>
              <w:spacing w:after="20"/>
            </w:pPr>
            <w:r>
              <w:rPr>
                <w:sz w:val="14"/>
              </w:rPr>
              <w:t>Provider statement matched to ledger and underlying transaction.</w:t>
            </w:r>
          </w:p>
        </w:tc>
        <w:tc>
          <w:tcPr>
            <w:tcW w:type="dxa" w:w="3278"/>
            <w:tcMar>
              <w:top w:w="50" w:type="dxa"/>
              <w:start w:w="55" w:type="dxa"/>
              <w:bottom w:w="50" w:type="dxa"/>
              <w:end w:w="55" w:type="dxa"/>
            </w:tcMar>
            <w:vAlign w:val="top"/>
          </w:tcPr>
          <w:p>
            <w:pPr>
              <w:spacing w:after="20"/>
            </w:pPr>
            <w:r>
              <w:rPr>
                <w:sz w:val="14"/>
              </w:rPr>
              <w:t>Daily exceptions, segregation of duties and audit trail.</w:t>
            </w:r>
          </w:p>
        </w:tc>
      </w:tr>
      <w:tr>
        <w:trPr>
          <w:cantSplit/>
        </w:trPr>
        <w:tc>
          <w:tcPr>
            <w:tcW w:type="dxa" w:w="3278"/>
            <w:shd w:fill="F6F8FB"/>
            <w:tcMar>
              <w:top w:w="50" w:type="dxa"/>
              <w:start w:w="55" w:type="dxa"/>
              <w:bottom w:w="50" w:type="dxa"/>
              <w:end w:w="55" w:type="dxa"/>
            </w:tcMar>
            <w:vAlign w:val="top"/>
          </w:tcPr>
          <w:p>
            <w:pPr>
              <w:spacing w:after="20"/>
            </w:pPr>
            <w:r>
              <w:rPr>
                <w:sz w:val="14"/>
              </w:rPr>
              <w:t>Dispute</w:t>
            </w:r>
          </w:p>
        </w:tc>
        <w:tc>
          <w:tcPr>
            <w:tcW w:type="dxa" w:w="3278"/>
            <w:shd w:fill="F6F8FB"/>
            <w:tcMar>
              <w:top w:w="50" w:type="dxa"/>
              <w:start w:w="55" w:type="dxa"/>
              <w:bottom w:w="50" w:type="dxa"/>
              <w:end w:w="55" w:type="dxa"/>
            </w:tcMar>
            <w:vAlign w:val="top"/>
          </w:tcPr>
          <w:p>
            <w:pPr>
              <w:spacing w:after="20"/>
            </w:pPr>
            <w:r>
              <w:rPr>
                <w:sz w:val="14"/>
              </w:rPr>
              <w:t>Case, evidence, response, correction or reversal.</w:t>
            </w:r>
          </w:p>
        </w:tc>
        <w:tc>
          <w:tcPr>
            <w:tcW w:type="dxa" w:w="3278"/>
            <w:shd w:fill="F6F8FB"/>
            <w:tcMar>
              <w:top w:w="50" w:type="dxa"/>
              <w:start w:w="55" w:type="dxa"/>
              <w:bottom w:w="50" w:type="dxa"/>
              <w:end w:w="55" w:type="dxa"/>
            </w:tcMar>
            <w:vAlign w:val="top"/>
          </w:tcPr>
          <w:p>
            <w:pPr>
              <w:spacing w:after="20"/>
            </w:pPr>
            <w:r>
              <w:rPr>
                <w:sz w:val="14"/>
              </w:rPr>
              <w:t>Time-bound grievance and escalation.</w:t>
            </w:r>
          </w:p>
        </w:tc>
      </w:tr>
    </w:tbl>
    <w:p>
      <w:pPr>
        <w:pStyle w:val="Heading2"/>
      </w:pPr>
      <w:r>
        <w:t>6.2 Weather intelligence without unnecessary station construction</w:t>
      </w:r>
    </w:p>
    <w:p>
      <w:r>
        <w:t>Modern automatic weather stations can measure temperature, humidity, rainfall, wind, pressure, solar radiation and selected soil conditions. AfriEuro Links should first integrate data from the Kenya Meteorological Department, county services, TAHMO and qualified commercial or research providers. Official warnings retain their source and authority. New equipment is justified only by an evidence-based coverage gap and a viable calibration, telemetry, security, maintenance, ownership and financing plan.</w:t>
      </w:r>
    </w:p>
    <w:p>
      <w:pPr>
        <w:pStyle w:val="Heading2"/>
      </w:pPr>
      <w:r>
        <w:t>6.3 Data governance, privacy and cybersecurity</w:t>
      </w:r>
    </w:p>
    <w:p>
      <w:pPr>
        <w:pStyle w:val="ListBullet"/>
        <w:spacing w:after="50"/>
      </w:pPr>
      <w:r>
        <w:t>A data-purpose register specifying collection purpose, lawful basis, access, sharing, retention and deletion.</w:t>
      </w:r>
    </w:p>
    <w:p>
      <w:pPr>
        <w:pStyle w:val="ListBullet"/>
        <w:spacing w:after="50"/>
      </w:pPr>
      <w:r>
        <w:t>Role-based access, multi-factor authentication, encryption, logs and periodic access review.</w:t>
      </w:r>
    </w:p>
    <w:p>
      <w:pPr>
        <w:pStyle w:val="ListBullet"/>
        <w:spacing w:after="50"/>
      </w:pPr>
      <w:r>
        <w:t>Special controls for identity, geolocation, payments, grievances, health and safety, and image data.</w:t>
      </w:r>
    </w:p>
    <w:p>
      <w:pPr>
        <w:pStyle w:val="ListBullet"/>
        <w:spacing w:after="50"/>
      </w:pPr>
      <w:r>
        <w:t>API security, key rotation, environment separation, backup, vulnerability management and incident response.</w:t>
      </w:r>
    </w:p>
    <w:p>
      <w:pPr>
        <w:pStyle w:val="ListBullet"/>
        <w:spacing w:after="50"/>
      </w:pPr>
      <w:r>
        <w:t>Data portability and controlled export to avoid vendor lock-in.</w:t>
      </w:r>
    </w:p>
    <w:p>
      <w:pPr>
        <w:pStyle w:val="ListBullet"/>
        <w:spacing w:after="50"/>
      </w:pPr>
      <w:r>
        <w:t>Model register, training-data documentation, bias/performance testing, human override and redress.</w:t>
      </w:r>
    </w:p>
    <w:p>
      <w:pPr>
        <w:pStyle w:val="ListBullet"/>
        <w:spacing w:after="50"/>
      </w:pPr>
      <w:r>
        <w:t>Independent privacy, cybersecurity and AI assurance before high-risk scale-up.</w:t>
      </w:r>
    </w:p>
    <w:p>
      <w:pPr>
        <w:pStyle w:val="Heading1"/>
      </w:pPr>
      <w:r>
        <w:t>7. Markets, Institutions and Operating Model</w:t>
      </w:r>
    </w:p>
    <w:p>
      <w:pPr>
        <w:pStyle w:val="Heading2"/>
      </w:pPr>
      <w:r>
        <w:t>7.1 Kenya, East Africa and European Union markets</w:t>
      </w:r>
    </w:p>
    <w:p>
      <w:r>
        <w:t>The Netherlands connection provides an initial European gateway, not a single-country dependency. The market strategy should develop multiple relationships with fashion brands, textile and garment buyers, renewable-feedstock users, logistics providers, technology partners, investors and development-finance institutions across the wider European Union. Each transaction requires validation of specifications, demand, customs, product rules, sustainability evidence, logistics, payment risk and commercial margin.</w:t>
      </w:r>
    </w:p>
    <w:p>
      <w:pPr>
        <w:pStyle w:val="Heading2"/>
      </w:pPr>
      <w:r>
        <w:t>7.2 Institutional architecture</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Institutional area</w:t>
            </w:r>
          </w:p>
        </w:tc>
        <w:tc>
          <w:tcPr>
            <w:tcW w:type="dxa" w:w="3278"/>
            <w:shd w:fill="17375E"/>
            <w:tcMar>
              <w:top w:w="55" w:type="dxa"/>
              <w:start w:w="60" w:type="dxa"/>
              <w:bottom w:w="55" w:type="dxa"/>
              <w:end w:w="60" w:type="dxa"/>
            </w:tcMar>
          </w:tcPr>
          <w:p>
            <w:pPr>
              <w:jc w:val="center"/>
            </w:pPr>
            <w:r>
              <w:rPr>
                <w:b/>
                <w:color w:val="FFFFFF"/>
                <w:sz w:val="14"/>
              </w:rPr>
              <w:t>Relevant actors</w:t>
            </w:r>
          </w:p>
        </w:tc>
        <w:tc>
          <w:tcPr>
            <w:tcW w:type="dxa" w:w="3278"/>
            <w:shd w:fill="17375E"/>
            <w:tcMar>
              <w:top w:w="55" w:type="dxa"/>
              <w:start w:w="60" w:type="dxa"/>
              <w:bottom w:w="55" w:type="dxa"/>
              <w:end w:w="60" w:type="dxa"/>
            </w:tcMar>
          </w:tcPr>
          <w:p>
            <w:pPr>
              <w:jc w:val="center"/>
            </w:pPr>
            <w:r>
              <w:rPr>
                <w:b/>
                <w:color w:val="FFFFFF"/>
                <w:sz w:val="14"/>
              </w:rPr>
              <w:t>Programme relationship</w:t>
            </w:r>
          </w:p>
        </w:tc>
      </w:tr>
      <w:tr>
        <w:trPr>
          <w:cantSplit/>
        </w:trPr>
        <w:tc>
          <w:tcPr>
            <w:tcW w:type="dxa" w:w="3278"/>
            <w:tcMar>
              <w:top w:w="50" w:type="dxa"/>
              <w:start w:w="55" w:type="dxa"/>
              <w:bottom w:w="50" w:type="dxa"/>
              <w:end w:w="55" w:type="dxa"/>
            </w:tcMar>
            <w:vAlign w:val="top"/>
          </w:tcPr>
          <w:p>
            <w:pPr>
              <w:spacing w:after="20"/>
            </w:pPr>
            <w:r>
              <w:rPr>
                <w:sz w:val="14"/>
              </w:rPr>
              <w:t>Agriculture and research</w:t>
            </w:r>
          </w:p>
        </w:tc>
        <w:tc>
          <w:tcPr>
            <w:tcW w:type="dxa" w:w="3278"/>
            <w:tcMar>
              <w:top w:w="50" w:type="dxa"/>
              <w:start w:w="55" w:type="dxa"/>
              <w:bottom w:w="50" w:type="dxa"/>
              <w:end w:w="55" w:type="dxa"/>
            </w:tcMar>
            <w:vAlign w:val="top"/>
          </w:tcPr>
          <w:p>
            <w:pPr>
              <w:spacing w:after="20"/>
            </w:pPr>
            <w:r>
              <w:rPr>
                <w:sz w:val="14"/>
              </w:rPr>
              <w:t>Agriculture ministry, AFA, KALRO, KEPHIS, counties, universities and research partners.</w:t>
            </w:r>
          </w:p>
        </w:tc>
        <w:tc>
          <w:tcPr>
            <w:tcW w:type="dxa" w:w="3278"/>
            <w:tcMar>
              <w:top w:w="50" w:type="dxa"/>
              <w:start w:w="55" w:type="dxa"/>
              <w:bottom w:w="50" w:type="dxa"/>
              <w:end w:w="55" w:type="dxa"/>
            </w:tcMar>
            <w:vAlign w:val="top"/>
          </w:tcPr>
          <w:p>
            <w:pPr>
              <w:spacing w:after="20"/>
            </w:pPr>
            <w:r>
              <w:rPr>
                <w:sz w:val="14"/>
              </w:rPr>
              <w:t>Crop, seed, plant health, extension, production and research guidance.</w:t>
            </w:r>
          </w:p>
        </w:tc>
      </w:tr>
      <w:tr>
        <w:trPr>
          <w:cantSplit/>
        </w:trPr>
        <w:tc>
          <w:tcPr>
            <w:tcW w:type="dxa" w:w="3278"/>
            <w:shd w:fill="F6F8FB"/>
            <w:tcMar>
              <w:top w:w="50" w:type="dxa"/>
              <w:start w:w="55" w:type="dxa"/>
              <w:bottom w:w="50" w:type="dxa"/>
              <w:end w:w="55" w:type="dxa"/>
            </w:tcMar>
            <w:vAlign w:val="top"/>
          </w:tcPr>
          <w:p>
            <w:pPr>
              <w:spacing w:after="20"/>
            </w:pPr>
            <w:r>
              <w:rPr>
                <w:sz w:val="14"/>
              </w:rPr>
              <w:t>Weather and climate</w:t>
            </w:r>
          </w:p>
        </w:tc>
        <w:tc>
          <w:tcPr>
            <w:tcW w:type="dxa" w:w="3278"/>
            <w:shd w:fill="F6F8FB"/>
            <w:tcMar>
              <w:top w:w="50" w:type="dxa"/>
              <w:start w:w="55" w:type="dxa"/>
              <w:bottom w:w="50" w:type="dxa"/>
              <w:end w:w="55" w:type="dxa"/>
            </w:tcMar>
            <w:vAlign w:val="top"/>
          </w:tcPr>
          <w:p>
            <w:pPr>
              <w:spacing w:after="20"/>
            </w:pPr>
            <w:r>
              <w:rPr>
                <w:sz w:val="14"/>
              </w:rPr>
              <w:t>Kenya Meteorological Department, county teams, TAHMO and approved providers.</w:t>
            </w:r>
          </w:p>
        </w:tc>
        <w:tc>
          <w:tcPr>
            <w:tcW w:type="dxa" w:w="3278"/>
            <w:shd w:fill="F6F8FB"/>
            <w:tcMar>
              <w:top w:w="50" w:type="dxa"/>
              <w:start w:w="55" w:type="dxa"/>
              <w:bottom w:w="50" w:type="dxa"/>
              <w:end w:w="55" w:type="dxa"/>
            </w:tcMar>
            <w:vAlign w:val="top"/>
          </w:tcPr>
          <w:p>
            <w:pPr>
              <w:spacing w:after="20"/>
            </w:pPr>
            <w:r>
              <w:rPr>
                <w:sz w:val="14"/>
              </w:rPr>
              <w:t>Data sharing, forecasts, warnings, station observations and validation.</w:t>
            </w:r>
          </w:p>
        </w:tc>
      </w:tr>
      <w:tr>
        <w:trPr>
          <w:cantSplit/>
        </w:trPr>
        <w:tc>
          <w:tcPr>
            <w:tcW w:type="dxa" w:w="3278"/>
            <w:tcMar>
              <w:top w:w="50" w:type="dxa"/>
              <w:start w:w="55" w:type="dxa"/>
              <w:bottom w:w="50" w:type="dxa"/>
              <w:end w:w="55" w:type="dxa"/>
            </w:tcMar>
            <w:vAlign w:val="top"/>
          </w:tcPr>
          <w:p>
            <w:pPr>
              <w:spacing w:after="20"/>
            </w:pPr>
            <w:r>
              <w:rPr>
                <w:sz w:val="14"/>
              </w:rPr>
              <w:t>Trade and industry</w:t>
            </w:r>
          </w:p>
        </w:tc>
        <w:tc>
          <w:tcPr>
            <w:tcW w:type="dxa" w:w="3278"/>
            <w:tcMar>
              <w:top w:w="50" w:type="dxa"/>
              <w:start w:w="55" w:type="dxa"/>
              <w:bottom w:w="50" w:type="dxa"/>
              <w:end w:w="55" w:type="dxa"/>
            </w:tcMar>
            <w:vAlign w:val="top"/>
          </w:tcPr>
          <w:p>
            <w:pPr>
              <w:spacing w:after="20"/>
            </w:pPr>
            <w:r>
              <w:rPr>
                <w:sz w:val="14"/>
              </w:rPr>
              <w:t>Trade and industrialisation ministry, standards, export and SME institutions.</w:t>
            </w:r>
          </w:p>
        </w:tc>
        <w:tc>
          <w:tcPr>
            <w:tcW w:type="dxa" w:w="3278"/>
            <w:tcMar>
              <w:top w:w="50" w:type="dxa"/>
              <w:start w:w="55" w:type="dxa"/>
              <w:bottom w:w="50" w:type="dxa"/>
              <w:end w:w="55" w:type="dxa"/>
            </w:tcMar>
            <w:vAlign w:val="top"/>
          </w:tcPr>
          <w:p>
            <w:pPr>
              <w:spacing w:after="20"/>
            </w:pPr>
            <w:r>
              <w:rPr>
                <w:sz w:val="14"/>
              </w:rPr>
              <w:t>Value addition, standards, market development and replication.</w:t>
            </w:r>
          </w:p>
        </w:tc>
      </w:tr>
      <w:tr>
        <w:trPr>
          <w:cantSplit/>
        </w:trPr>
        <w:tc>
          <w:tcPr>
            <w:tcW w:type="dxa" w:w="3278"/>
            <w:shd w:fill="F6F8FB"/>
            <w:tcMar>
              <w:top w:w="50" w:type="dxa"/>
              <w:start w:w="55" w:type="dxa"/>
              <w:bottom w:w="50" w:type="dxa"/>
              <w:end w:w="55" w:type="dxa"/>
            </w:tcMar>
            <w:vAlign w:val="top"/>
          </w:tcPr>
          <w:p>
            <w:pPr>
              <w:spacing w:after="20"/>
            </w:pPr>
            <w:r>
              <w:rPr>
                <w:sz w:val="14"/>
              </w:rPr>
              <w:t>Energy and biofuels</w:t>
            </w:r>
          </w:p>
        </w:tc>
        <w:tc>
          <w:tcPr>
            <w:tcW w:type="dxa" w:w="3278"/>
            <w:shd w:fill="F6F8FB"/>
            <w:tcMar>
              <w:top w:w="50" w:type="dxa"/>
              <w:start w:w="55" w:type="dxa"/>
              <w:bottom w:w="50" w:type="dxa"/>
              <w:end w:w="55" w:type="dxa"/>
            </w:tcMar>
            <w:vAlign w:val="top"/>
          </w:tcPr>
          <w:p>
            <w:pPr>
              <w:spacing w:after="20"/>
            </w:pPr>
            <w:r>
              <w:rPr>
                <w:sz w:val="14"/>
              </w:rPr>
              <w:t>Energy ministry, EPRA and technical institutions.</w:t>
            </w:r>
          </w:p>
        </w:tc>
        <w:tc>
          <w:tcPr>
            <w:tcW w:type="dxa" w:w="3278"/>
            <w:shd w:fill="F6F8FB"/>
            <w:tcMar>
              <w:top w:w="50" w:type="dxa"/>
              <w:start w:w="55" w:type="dxa"/>
              <w:bottom w:w="50" w:type="dxa"/>
              <w:end w:w="55" w:type="dxa"/>
            </w:tcMar>
            <w:vAlign w:val="top"/>
          </w:tcPr>
          <w:p>
            <w:pPr>
              <w:spacing w:after="20"/>
            </w:pPr>
            <w:r>
              <w:rPr>
                <w:sz w:val="14"/>
              </w:rPr>
              <w:t>Licensing, quality, storage, transport, processing and market compliance.</w:t>
            </w:r>
          </w:p>
        </w:tc>
      </w:tr>
      <w:tr>
        <w:trPr>
          <w:cantSplit/>
        </w:trPr>
        <w:tc>
          <w:tcPr>
            <w:tcW w:type="dxa" w:w="3278"/>
            <w:tcMar>
              <w:top w:w="50" w:type="dxa"/>
              <w:start w:w="55" w:type="dxa"/>
              <w:bottom w:w="50" w:type="dxa"/>
              <w:end w:w="55" w:type="dxa"/>
            </w:tcMar>
            <w:vAlign w:val="top"/>
          </w:tcPr>
          <w:p>
            <w:pPr>
              <w:spacing w:after="20"/>
            </w:pPr>
            <w:r>
              <w:rPr>
                <w:sz w:val="14"/>
              </w:rPr>
              <w:t>Environment</w:t>
            </w:r>
          </w:p>
        </w:tc>
        <w:tc>
          <w:tcPr>
            <w:tcW w:type="dxa" w:w="3278"/>
            <w:tcMar>
              <w:top w:w="50" w:type="dxa"/>
              <w:start w:w="55" w:type="dxa"/>
              <w:bottom w:w="50" w:type="dxa"/>
              <w:end w:w="55" w:type="dxa"/>
            </w:tcMar>
            <w:vAlign w:val="top"/>
          </w:tcPr>
          <w:p>
            <w:pPr>
              <w:spacing w:after="20"/>
            </w:pPr>
            <w:r>
              <w:rPr>
                <w:sz w:val="14"/>
              </w:rPr>
              <w:t>NEMA and county environmental authorities.</w:t>
            </w:r>
          </w:p>
        </w:tc>
        <w:tc>
          <w:tcPr>
            <w:tcW w:type="dxa" w:w="3278"/>
            <w:tcMar>
              <w:top w:w="50" w:type="dxa"/>
              <w:start w:w="55" w:type="dxa"/>
              <w:bottom w:w="50" w:type="dxa"/>
              <w:end w:w="55" w:type="dxa"/>
            </w:tcMar>
            <w:vAlign w:val="top"/>
          </w:tcPr>
          <w:p>
            <w:pPr>
              <w:spacing w:after="20"/>
            </w:pPr>
            <w:r>
              <w:rPr>
                <w:sz w:val="14"/>
              </w:rPr>
              <w:t>Environmental assessment, permits, audits, waste, effluent and mitigation.</w:t>
            </w:r>
          </w:p>
        </w:tc>
      </w:tr>
      <w:tr>
        <w:trPr>
          <w:cantSplit/>
        </w:trPr>
        <w:tc>
          <w:tcPr>
            <w:tcW w:type="dxa" w:w="3278"/>
            <w:shd w:fill="F6F8FB"/>
            <w:tcMar>
              <w:top w:w="50" w:type="dxa"/>
              <w:start w:w="55" w:type="dxa"/>
              <w:bottom w:w="50" w:type="dxa"/>
              <w:end w:w="55" w:type="dxa"/>
            </w:tcMar>
            <w:vAlign w:val="top"/>
          </w:tcPr>
          <w:p>
            <w:pPr>
              <w:spacing w:after="20"/>
            </w:pPr>
            <w:r>
              <w:rPr>
                <w:sz w:val="14"/>
              </w:rPr>
              <w:t>Finance and payments</w:t>
            </w:r>
          </w:p>
        </w:tc>
        <w:tc>
          <w:tcPr>
            <w:tcW w:type="dxa" w:w="3278"/>
            <w:shd w:fill="F6F8FB"/>
            <w:tcMar>
              <w:top w:w="50" w:type="dxa"/>
              <w:start w:w="55" w:type="dxa"/>
              <w:bottom w:w="50" w:type="dxa"/>
              <w:end w:w="55" w:type="dxa"/>
            </w:tcMar>
            <w:vAlign w:val="top"/>
          </w:tcPr>
          <w:p>
            <w:pPr>
              <w:spacing w:after="20"/>
            </w:pPr>
            <w:r>
              <w:rPr>
                <w:sz w:val="14"/>
              </w:rPr>
              <w:t>Central-bank-regulated banks, mobile-money and payment providers.</w:t>
            </w:r>
          </w:p>
        </w:tc>
        <w:tc>
          <w:tcPr>
            <w:tcW w:type="dxa" w:w="3278"/>
            <w:shd w:fill="F6F8FB"/>
            <w:tcMar>
              <w:top w:w="50" w:type="dxa"/>
              <w:start w:w="55" w:type="dxa"/>
              <w:bottom w:w="50" w:type="dxa"/>
              <w:end w:w="55" w:type="dxa"/>
            </w:tcMar>
            <w:vAlign w:val="top"/>
          </w:tcPr>
          <w:p>
            <w:pPr>
              <w:spacing w:after="20"/>
            </w:pPr>
            <w:r>
              <w:rPr>
                <w:sz w:val="14"/>
              </w:rPr>
              <w:t>Licensed rails, consumer protection, AML/CFT and settlement.</w:t>
            </w:r>
          </w:p>
        </w:tc>
      </w:tr>
      <w:tr>
        <w:trPr>
          <w:cantSplit/>
        </w:trPr>
        <w:tc>
          <w:tcPr>
            <w:tcW w:type="dxa" w:w="3278"/>
            <w:tcMar>
              <w:top w:w="50" w:type="dxa"/>
              <w:start w:w="55" w:type="dxa"/>
              <w:bottom w:w="50" w:type="dxa"/>
              <w:end w:w="55" w:type="dxa"/>
            </w:tcMar>
            <w:vAlign w:val="top"/>
          </w:tcPr>
          <w:p>
            <w:pPr>
              <w:spacing w:after="20"/>
            </w:pPr>
            <w:r>
              <w:rPr>
                <w:sz w:val="14"/>
              </w:rPr>
              <w:t>Data, labour and safety</w:t>
            </w:r>
          </w:p>
        </w:tc>
        <w:tc>
          <w:tcPr>
            <w:tcW w:type="dxa" w:w="3278"/>
            <w:tcMar>
              <w:top w:w="50" w:type="dxa"/>
              <w:start w:w="55" w:type="dxa"/>
              <w:bottom w:w="50" w:type="dxa"/>
              <w:end w:w="55" w:type="dxa"/>
            </w:tcMar>
            <w:vAlign w:val="top"/>
          </w:tcPr>
          <w:p>
            <w:pPr>
              <w:spacing w:after="20"/>
            </w:pPr>
            <w:r>
              <w:rPr>
                <w:sz w:val="14"/>
              </w:rPr>
              <w:t>Data protection, labour and occupational-safety institutions.</w:t>
            </w:r>
          </w:p>
        </w:tc>
        <w:tc>
          <w:tcPr>
            <w:tcW w:type="dxa" w:w="3278"/>
            <w:tcMar>
              <w:top w:w="50" w:type="dxa"/>
              <w:start w:w="55" w:type="dxa"/>
              <w:bottom w:w="50" w:type="dxa"/>
              <w:end w:w="55" w:type="dxa"/>
            </w:tcMar>
            <w:vAlign w:val="top"/>
          </w:tcPr>
          <w:p>
            <w:pPr>
              <w:spacing w:after="20"/>
            </w:pPr>
            <w:r>
              <w:rPr>
                <w:sz w:val="14"/>
              </w:rPr>
              <w:t>Privacy, worker rights, safe operations and redress.</w:t>
            </w:r>
          </w:p>
        </w:tc>
      </w:tr>
    </w:tbl>
    <w:p>
      <w:pPr>
        <w:pStyle w:val="Heading2"/>
      </w:pPr>
      <w:r>
        <w:t>7.3 Business and sustainability model</w:t>
      </w:r>
    </w:p>
    <w:p>
      <w:r>
        <w:t>The long-term model combines transaction and aggregation fees, buyer and processor services, advanced platform subscriptions, traceability and assurance support, research and training contracts, market-development services, partner contributions and commercial margins. Basic registration, consent, safeguarding and grievance access should remain affordable. Commercial working capital must be separately structured through buyers, banks, investors, guarantees or receivable finance.</w:t>
      </w:r>
    </w:p>
    <w:tbl>
      <w:tblPr>
        <w:tblStyle w:val="TableGrid"/>
        <w:tblW w:type="auto" w:w="0"/>
        <w:jc w:val="center"/>
        <w:tblLook w:firstColumn="1" w:firstRow="1" w:lastColumn="0" w:lastRow="0" w:noHBand="0" w:noVBand="1" w:val="04A0"/>
      </w:tblPr>
      <w:tblGrid>
        <w:gridCol w:w="9835"/>
      </w:tblGrid>
      <w:tr>
        <w:tc>
          <w:tcPr>
            <w:tcW w:type="dxa" w:w="9835"/>
            <w:shd w:fill="F6F8FB"/>
            <w:tcMar>
              <w:top w:w="90" w:type="dxa"/>
              <w:start w:w="100" w:type="dxa"/>
              <w:bottom w:w="90" w:type="dxa"/>
              <w:end w:w="100" w:type="dxa"/>
            </w:tcMar>
          </w:tcPr>
          <w:p>
            <w:pPr>
              <w:pStyle w:val="Callout"/>
            </w:pPr>
            <w:r>
              <w:rPr>
                <w:b/>
                <w:color w:val="17375E"/>
                <w:sz w:val="20"/>
              </w:rPr>
              <w:t>Why the white paper has no detailed budget</w:t>
              <w:br/>
            </w:r>
            <w:r>
              <w:rPr>
                <w:sz w:val="18"/>
              </w:rPr>
              <w:t>This document defines the strategic, technical and policy architecture. It may explain financing mechanisms and investment logic, but procurement quantities and line-item costs are deliberately left to the concept note, full proposal, feasibility work and approved implementation budget.</w:t>
            </w:r>
          </w:p>
        </w:tc>
      </w:tr>
    </w:tbl>
    <w:p>
      <w:pPr>
        <w:pStyle w:val="Heading1"/>
      </w:pPr>
      <w:r>
        <w:t>8. Roadmap, Risks and Recommendations</w:t>
      </w:r>
    </w:p>
    <w:p>
      <w:pPr>
        <w:pStyle w:val="Heading2"/>
      </w:pPr>
      <w:r>
        <w:t>8.1 Phased roadmap</w:t>
      </w:r>
    </w:p>
    <w:tbl>
      <w:tblPr>
        <w:tblStyle w:val="TableGrid"/>
        <w:tblW w:type="auto" w:w="0"/>
        <w:jc w:val="center"/>
        <w:tblLayout w:type="autofit"/>
        <w:tblLook w:firstColumn="1" w:firstRow="1" w:lastColumn="0" w:lastRow="0" w:noHBand="0" w:noVBand="1" w:val="04A0"/>
      </w:tblPr>
      <w:tblGrid>
        <w:gridCol w:w="2459"/>
        <w:gridCol w:w="2459"/>
        <w:gridCol w:w="2459"/>
        <w:gridCol w:w="2459"/>
      </w:tblGrid>
      <w:tr>
        <w:trPr>
          <w:tblHeader w:val="true"/>
        </w:trPr>
        <w:tc>
          <w:tcPr>
            <w:tcW w:type="dxa" w:w="2459"/>
            <w:shd w:fill="17375E"/>
            <w:tcMar>
              <w:top w:w="55" w:type="dxa"/>
              <w:start w:w="60" w:type="dxa"/>
              <w:bottom w:w="55" w:type="dxa"/>
              <w:end w:w="60" w:type="dxa"/>
            </w:tcMar>
          </w:tcPr>
          <w:p>
            <w:pPr>
              <w:jc w:val="center"/>
            </w:pPr>
            <w:r>
              <w:rPr>
                <w:b/>
                <w:color w:val="FFFFFF"/>
                <w:sz w:val="14"/>
              </w:rPr>
              <w:t>Stage</w:t>
            </w:r>
          </w:p>
        </w:tc>
        <w:tc>
          <w:tcPr>
            <w:tcW w:type="dxa" w:w="2459"/>
            <w:shd w:fill="17375E"/>
            <w:tcMar>
              <w:top w:w="55" w:type="dxa"/>
              <w:start w:w="60" w:type="dxa"/>
              <w:bottom w:w="55" w:type="dxa"/>
              <w:end w:w="60" w:type="dxa"/>
            </w:tcMar>
          </w:tcPr>
          <w:p>
            <w:pPr>
              <w:jc w:val="center"/>
            </w:pPr>
            <w:r>
              <w:rPr>
                <w:b/>
                <w:color w:val="FFFFFF"/>
                <w:sz w:val="14"/>
              </w:rPr>
              <w:t>Technology focus</w:t>
            </w:r>
          </w:p>
        </w:tc>
        <w:tc>
          <w:tcPr>
            <w:tcW w:type="dxa" w:w="2459"/>
            <w:shd w:fill="17375E"/>
            <w:tcMar>
              <w:top w:w="55" w:type="dxa"/>
              <w:start w:w="60" w:type="dxa"/>
              <w:bottom w:w="55" w:type="dxa"/>
              <w:end w:w="60" w:type="dxa"/>
            </w:tcMar>
          </w:tcPr>
          <w:p>
            <w:pPr>
              <w:jc w:val="center"/>
            </w:pPr>
            <w:r>
              <w:rPr>
                <w:b/>
                <w:color w:val="FFFFFF"/>
                <w:sz w:val="14"/>
              </w:rPr>
              <w:t>Operational focus</w:t>
            </w:r>
          </w:p>
        </w:tc>
        <w:tc>
          <w:tcPr>
            <w:tcW w:type="dxa" w:w="2459"/>
            <w:shd w:fill="17375E"/>
            <w:tcMar>
              <w:top w:w="55" w:type="dxa"/>
              <w:start w:w="60" w:type="dxa"/>
              <w:bottom w:w="55" w:type="dxa"/>
              <w:end w:w="60" w:type="dxa"/>
            </w:tcMar>
          </w:tcPr>
          <w:p>
            <w:pPr>
              <w:jc w:val="center"/>
            </w:pPr>
            <w:r>
              <w:rPr>
                <w:b/>
                <w:color w:val="FFFFFF"/>
                <w:sz w:val="14"/>
              </w:rPr>
              <w:t>Market focus</w:t>
            </w:r>
          </w:p>
        </w:tc>
      </w:tr>
      <w:tr>
        <w:trPr>
          <w:cantSplit/>
        </w:trPr>
        <w:tc>
          <w:tcPr>
            <w:tcW w:type="dxa" w:w="2459"/>
            <w:tcMar>
              <w:top w:w="50" w:type="dxa"/>
              <w:start w:w="55" w:type="dxa"/>
              <w:bottom w:w="50" w:type="dxa"/>
              <w:end w:w="55" w:type="dxa"/>
            </w:tcMar>
            <w:vAlign w:val="top"/>
          </w:tcPr>
          <w:p>
            <w:pPr>
              <w:spacing w:after="20"/>
            </w:pPr>
            <w:r>
              <w:rPr>
                <w:sz w:val="14"/>
              </w:rPr>
              <w:t>Foundation</w:t>
            </w:r>
          </w:p>
        </w:tc>
        <w:tc>
          <w:tcPr>
            <w:tcW w:type="dxa" w:w="2459"/>
            <w:tcMar>
              <w:top w:w="50" w:type="dxa"/>
              <w:start w:w="55" w:type="dxa"/>
              <w:bottom w:w="50" w:type="dxa"/>
              <w:end w:w="55" w:type="dxa"/>
            </w:tcMar>
            <w:vAlign w:val="top"/>
          </w:tcPr>
          <w:p>
            <w:pPr>
              <w:spacing w:after="20"/>
            </w:pPr>
            <w:r>
              <w:rPr>
                <w:sz w:val="14"/>
              </w:rPr>
              <w:t>Identity, consent, GIS, payment sandbox, weather feeds and data/AI governance.</w:t>
            </w:r>
          </w:p>
        </w:tc>
        <w:tc>
          <w:tcPr>
            <w:tcW w:type="dxa" w:w="2459"/>
            <w:tcMar>
              <w:top w:w="50" w:type="dxa"/>
              <w:start w:w="55" w:type="dxa"/>
              <w:bottom w:w="50" w:type="dxa"/>
              <w:end w:w="55" w:type="dxa"/>
            </w:tcMar>
            <w:vAlign w:val="top"/>
          </w:tcPr>
          <w:p>
            <w:pPr>
              <w:spacing w:after="20"/>
            </w:pPr>
            <w:r>
              <w:rPr>
                <w:sz w:val="14"/>
              </w:rPr>
              <w:t>Partner agreements, baseline, safeguards and pilot clusters.</w:t>
            </w:r>
          </w:p>
        </w:tc>
        <w:tc>
          <w:tcPr>
            <w:tcW w:type="dxa" w:w="2459"/>
            <w:tcMar>
              <w:top w:w="50" w:type="dxa"/>
              <w:start w:w="55" w:type="dxa"/>
              <w:bottom w:w="50" w:type="dxa"/>
              <w:end w:w="55" w:type="dxa"/>
            </w:tcMar>
            <w:vAlign w:val="top"/>
          </w:tcPr>
          <w:p>
            <w:pPr>
              <w:spacing w:after="20"/>
            </w:pPr>
            <w:r>
              <w:rPr>
                <w:sz w:val="14"/>
              </w:rPr>
              <w:t>Buyer requirements and market validation.</w:t>
            </w:r>
          </w:p>
        </w:tc>
      </w:tr>
      <w:tr>
        <w:trPr>
          <w:cantSplit/>
        </w:trPr>
        <w:tc>
          <w:tcPr>
            <w:tcW w:type="dxa" w:w="2459"/>
            <w:shd w:fill="F6F8FB"/>
            <w:tcMar>
              <w:top w:w="50" w:type="dxa"/>
              <w:start w:w="55" w:type="dxa"/>
              <w:bottom w:w="50" w:type="dxa"/>
              <w:end w:w="55" w:type="dxa"/>
            </w:tcMar>
            <w:vAlign w:val="top"/>
          </w:tcPr>
          <w:p>
            <w:pPr>
              <w:spacing w:after="20"/>
            </w:pPr>
            <w:r>
              <w:rPr>
                <w:sz w:val="14"/>
              </w:rPr>
              <w:t>Operational pilot</w:t>
            </w:r>
          </w:p>
        </w:tc>
        <w:tc>
          <w:tcPr>
            <w:tcW w:type="dxa" w:w="2459"/>
            <w:shd w:fill="F6F8FB"/>
            <w:tcMar>
              <w:top w:w="50" w:type="dxa"/>
              <w:start w:w="55" w:type="dxa"/>
              <w:bottom w:w="50" w:type="dxa"/>
              <w:end w:w="55" w:type="dxa"/>
            </w:tcMar>
            <w:vAlign w:val="top"/>
          </w:tcPr>
          <w:p>
            <w:pPr>
              <w:spacing w:after="20"/>
            </w:pPr>
            <w:r>
              <w:rPr>
                <w:sz w:val="14"/>
              </w:rPr>
              <w:t>Traceability, quality, orders, reconciliation, ESG and advisory modules.</w:t>
            </w:r>
          </w:p>
        </w:tc>
        <w:tc>
          <w:tcPr>
            <w:tcW w:type="dxa" w:w="2459"/>
            <w:shd w:fill="F6F8FB"/>
            <w:tcMar>
              <w:top w:w="50" w:type="dxa"/>
              <w:start w:w="55" w:type="dxa"/>
              <w:bottom w:w="50" w:type="dxa"/>
              <w:end w:w="55" w:type="dxa"/>
            </w:tcMar>
            <w:vAlign w:val="top"/>
          </w:tcPr>
          <w:p>
            <w:pPr>
              <w:spacing w:after="20"/>
            </w:pPr>
            <w:r>
              <w:rPr>
                <w:sz w:val="14"/>
              </w:rPr>
              <w:t>First complete farm-to-product and feedstock transactions.</w:t>
            </w:r>
          </w:p>
        </w:tc>
        <w:tc>
          <w:tcPr>
            <w:tcW w:type="dxa" w:w="2459"/>
            <w:shd w:fill="F6F8FB"/>
            <w:tcMar>
              <w:top w:w="50" w:type="dxa"/>
              <w:start w:w="55" w:type="dxa"/>
              <w:bottom w:w="50" w:type="dxa"/>
              <w:end w:w="55" w:type="dxa"/>
            </w:tcMar>
            <w:vAlign w:val="top"/>
          </w:tcPr>
          <w:p>
            <w:pPr>
              <w:spacing w:after="20"/>
            </w:pPr>
            <w:r>
              <w:rPr>
                <w:sz w:val="14"/>
              </w:rPr>
              <w:t>Domestic and initial European transactions.</w:t>
            </w:r>
          </w:p>
        </w:tc>
      </w:tr>
      <w:tr>
        <w:trPr>
          <w:cantSplit/>
        </w:trPr>
        <w:tc>
          <w:tcPr>
            <w:tcW w:type="dxa" w:w="2459"/>
            <w:tcMar>
              <w:top w:w="50" w:type="dxa"/>
              <w:start w:w="55" w:type="dxa"/>
              <w:bottom w:w="50" w:type="dxa"/>
              <w:end w:w="55" w:type="dxa"/>
            </w:tcMar>
            <w:vAlign w:val="top"/>
          </w:tcPr>
          <w:p>
            <w:pPr>
              <w:spacing w:after="20"/>
            </w:pPr>
            <w:r>
              <w:rPr>
                <w:sz w:val="14"/>
              </w:rPr>
              <w:t>Controlled scale</w:t>
            </w:r>
          </w:p>
        </w:tc>
        <w:tc>
          <w:tcPr>
            <w:tcW w:type="dxa" w:w="2459"/>
            <w:tcMar>
              <w:top w:w="50" w:type="dxa"/>
              <w:start w:w="55" w:type="dxa"/>
              <w:bottom w:w="50" w:type="dxa"/>
              <w:end w:w="55" w:type="dxa"/>
            </w:tcMar>
            <w:vAlign w:val="top"/>
          </w:tcPr>
          <w:p>
            <w:pPr>
              <w:spacing w:after="20"/>
            </w:pPr>
            <w:r>
              <w:rPr>
                <w:sz w:val="14"/>
              </w:rPr>
              <w:t>Interoperability, validated AI, analytics and assurance workflows.</w:t>
            </w:r>
          </w:p>
        </w:tc>
        <w:tc>
          <w:tcPr>
            <w:tcW w:type="dxa" w:w="2459"/>
            <w:tcMar>
              <w:top w:w="50" w:type="dxa"/>
              <w:start w:w="55" w:type="dxa"/>
              <w:bottom w:w="50" w:type="dxa"/>
              <w:end w:w="55" w:type="dxa"/>
            </w:tcMar>
            <w:vAlign w:val="top"/>
          </w:tcPr>
          <w:p>
            <w:pPr>
              <w:spacing w:after="20"/>
            </w:pPr>
            <w:r>
              <w:rPr>
                <w:sz w:val="14"/>
              </w:rPr>
              <w:t>Recurring processing, expanded clusters and service capacity.</w:t>
            </w:r>
          </w:p>
        </w:tc>
        <w:tc>
          <w:tcPr>
            <w:tcW w:type="dxa" w:w="2459"/>
            <w:tcMar>
              <w:top w:w="50" w:type="dxa"/>
              <w:start w:w="55" w:type="dxa"/>
              <w:bottom w:w="50" w:type="dxa"/>
              <w:end w:w="55" w:type="dxa"/>
            </w:tcMar>
            <w:vAlign w:val="top"/>
          </w:tcPr>
          <w:p>
            <w:pPr>
              <w:spacing w:after="20"/>
            </w:pPr>
            <w:r>
              <w:rPr>
                <w:sz w:val="14"/>
              </w:rPr>
              <w:t>Multi-buyer and finance portfolio.</w:t>
            </w:r>
          </w:p>
        </w:tc>
      </w:tr>
      <w:tr>
        <w:trPr>
          <w:cantSplit/>
        </w:trPr>
        <w:tc>
          <w:tcPr>
            <w:tcW w:type="dxa" w:w="2459"/>
            <w:shd w:fill="F6F8FB"/>
            <w:tcMar>
              <w:top w:w="50" w:type="dxa"/>
              <w:start w:w="55" w:type="dxa"/>
              <w:bottom w:w="50" w:type="dxa"/>
              <w:end w:w="55" w:type="dxa"/>
            </w:tcMar>
            <w:vAlign w:val="top"/>
          </w:tcPr>
          <w:p>
            <w:pPr>
              <w:spacing w:after="20"/>
            </w:pPr>
            <w:r>
              <w:rPr>
                <w:sz w:val="14"/>
              </w:rPr>
              <w:t>Transition and replication</w:t>
            </w:r>
          </w:p>
        </w:tc>
        <w:tc>
          <w:tcPr>
            <w:tcW w:type="dxa" w:w="2459"/>
            <w:shd w:fill="F6F8FB"/>
            <w:tcMar>
              <w:top w:w="50" w:type="dxa"/>
              <w:start w:w="55" w:type="dxa"/>
              <w:bottom w:w="50" w:type="dxa"/>
              <w:end w:w="55" w:type="dxa"/>
            </w:tcMar>
            <w:vAlign w:val="top"/>
          </w:tcPr>
          <w:p>
            <w:pPr>
              <w:spacing w:after="20"/>
            </w:pPr>
            <w:r>
              <w:rPr>
                <w:sz w:val="14"/>
              </w:rPr>
              <w:t>Global marketing site, LaDOS and CEOS operational independence and governed APIs.</w:t>
            </w:r>
          </w:p>
        </w:tc>
        <w:tc>
          <w:tcPr>
            <w:tcW w:type="dxa" w:w="2459"/>
            <w:shd w:fill="F6F8FB"/>
            <w:tcMar>
              <w:top w:w="50" w:type="dxa"/>
              <w:start w:w="55" w:type="dxa"/>
              <w:bottom w:w="50" w:type="dxa"/>
              <w:end w:w="55" w:type="dxa"/>
            </w:tcMar>
            <w:vAlign w:val="top"/>
          </w:tcPr>
          <w:p>
            <w:pPr>
              <w:spacing w:after="20"/>
            </w:pPr>
            <w:r>
              <w:rPr>
                <w:sz w:val="14"/>
              </w:rPr>
              <w:t>Institutionalisation, cost recovery and replication packs.</w:t>
            </w:r>
          </w:p>
        </w:tc>
        <w:tc>
          <w:tcPr>
            <w:tcW w:type="dxa" w:w="2459"/>
            <w:shd w:fill="F6F8FB"/>
            <w:tcMar>
              <w:top w:w="50" w:type="dxa"/>
              <w:start w:w="55" w:type="dxa"/>
              <w:bottom w:w="50" w:type="dxa"/>
              <w:end w:w="55" w:type="dxa"/>
            </w:tcMar>
            <w:vAlign w:val="top"/>
          </w:tcPr>
          <w:p>
            <w:pPr>
              <w:spacing w:after="20"/>
            </w:pPr>
            <w:r>
              <w:rPr>
                <w:sz w:val="14"/>
              </w:rPr>
              <w:t>Wider Kenya and East African expansion subject to feasibility.</w:t>
            </w:r>
          </w:p>
        </w:tc>
      </w:tr>
    </w:tbl>
    <w:p>
      <w:pPr>
        <w:pStyle w:val="Heading2"/>
      </w:pPr>
      <w:r>
        <w:t>8.2 Principal risks and ethical boundaries</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4"/>
              </w:rPr>
              <w:t>Boundary</w:t>
            </w:r>
          </w:p>
        </w:tc>
        <w:tc>
          <w:tcPr>
            <w:tcW w:type="dxa" w:w="4917"/>
            <w:shd w:fill="17375E"/>
            <w:tcMar>
              <w:top w:w="55" w:type="dxa"/>
              <w:start w:w="60" w:type="dxa"/>
              <w:bottom w:w="55" w:type="dxa"/>
              <w:end w:w="60" w:type="dxa"/>
            </w:tcMar>
          </w:tcPr>
          <w:p>
            <w:pPr>
              <w:jc w:val="center"/>
            </w:pPr>
            <w:r>
              <w:rPr>
                <w:b/>
                <w:color w:val="FFFFFF"/>
                <w:sz w:val="14"/>
              </w:rPr>
              <w:t>Reason</w:t>
            </w:r>
          </w:p>
        </w:tc>
      </w:tr>
      <w:tr>
        <w:trPr>
          <w:cantSplit/>
        </w:trPr>
        <w:tc>
          <w:tcPr>
            <w:tcW w:type="dxa" w:w="4917"/>
            <w:tcMar>
              <w:top w:w="50" w:type="dxa"/>
              <w:start w:w="55" w:type="dxa"/>
              <w:bottom w:w="50" w:type="dxa"/>
              <w:end w:w="55" w:type="dxa"/>
            </w:tcMar>
            <w:vAlign w:val="top"/>
          </w:tcPr>
          <w:p>
            <w:pPr>
              <w:spacing w:after="20"/>
            </w:pPr>
            <w:r>
              <w:rPr>
                <w:sz w:val="14"/>
              </w:rPr>
              <w:t>No automatic sustainability claim</w:t>
            </w:r>
          </w:p>
        </w:tc>
        <w:tc>
          <w:tcPr>
            <w:tcW w:type="dxa" w:w="4917"/>
            <w:tcMar>
              <w:top w:w="50" w:type="dxa"/>
              <w:start w:w="55" w:type="dxa"/>
              <w:bottom w:w="50" w:type="dxa"/>
              <w:end w:w="55" w:type="dxa"/>
            </w:tcMar>
            <w:vAlign w:val="top"/>
          </w:tcPr>
          <w:p>
            <w:pPr>
              <w:spacing w:after="20"/>
            </w:pPr>
            <w:r>
              <w:rPr>
                <w:sz w:val="14"/>
              </w:rPr>
              <w:t>A crop, map or digital record does not by itself prove environmental benefit.</w:t>
            </w:r>
          </w:p>
        </w:tc>
      </w:tr>
      <w:tr>
        <w:trPr>
          <w:cantSplit/>
        </w:trPr>
        <w:tc>
          <w:tcPr>
            <w:tcW w:type="dxa" w:w="4917"/>
            <w:shd w:fill="F6F8FB"/>
            <w:tcMar>
              <w:top w:w="50" w:type="dxa"/>
              <w:start w:w="55" w:type="dxa"/>
              <w:bottom w:w="50" w:type="dxa"/>
              <w:end w:w="55" w:type="dxa"/>
            </w:tcMar>
            <w:vAlign w:val="top"/>
          </w:tcPr>
          <w:p>
            <w:pPr>
              <w:spacing w:after="20"/>
            </w:pPr>
            <w:r>
              <w:rPr>
                <w:sz w:val="14"/>
              </w:rPr>
              <w:t>No automatic AI exclusion</w:t>
            </w:r>
          </w:p>
        </w:tc>
        <w:tc>
          <w:tcPr>
            <w:tcW w:type="dxa" w:w="4917"/>
            <w:shd w:fill="F6F8FB"/>
            <w:tcMar>
              <w:top w:w="50" w:type="dxa"/>
              <w:start w:w="55" w:type="dxa"/>
              <w:bottom w:w="50" w:type="dxa"/>
              <w:end w:w="55" w:type="dxa"/>
            </w:tcMar>
            <w:vAlign w:val="top"/>
          </w:tcPr>
          <w:p>
            <w:pPr>
              <w:spacing w:after="20"/>
            </w:pPr>
            <w:r>
              <w:rPr>
                <w:sz w:val="14"/>
              </w:rPr>
              <w:t>An anomaly or score is not proof of wrongdoing or ineligibility.</w:t>
            </w:r>
          </w:p>
        </w:tc>
      </w:tr>
      <w:tr>
        <w:trPr>
          <w:cantSplit/>
        </w:trPr>
        <w:tc>
          <w:tcPr>
            <w:tcW w:type="dxa" w:w="4917"/>
            <w:tcMar>
              <w:top w:w="50" w:type="dxa"/>
              <w:start w:w="55" w:type="dxa"/>
              <w:bottom w:w="50" w:type="dxa"/>
              <w:end w:w="55" w:type="dxa"/>
            </w:tcMar>
            <w:vAlign w:val="top"/>
          </w:tcPr>
          <w:p>
            <w:pPr>
              <w:spacing w:after="20"/>
            </w:pPr>
            <w:r>
              <w:rPr>
                <w:sz w:val="14"/>
              </w:rPr>
              <w:t>No payment custody without licence</w:t>
            </w:r>
          </w:p>
        </w:tc>
        <w:tc>
          <w:tcPr>
            <w:tcW w:type="dxa" w:w="4917"/>
            <w:tcMar>
              <w:top w:w="50" w:type="dxa"/>
              <w:start w:w="55" w:type="dxa"/>
              <w:bottom w:w="50" w:type="dxa"/>
              <w:end w:w="55" w:type="dxa"/>
            </w:tcMar>
            <w:vAlign w:val="top"/>
          </w:tcPr>
          <w:p>
            <w:pPr>
              <w:spacing w:after="20"/>
            </w:pPr>
            <w:r>
              <w:rPr>
                <w:sz w:val="14"/>
              </w:rPr>
              <w:t>Technology integration cannot bypass financial regulation.</w:t>
            </w:r>
          </w:p>
        </w:tc>
      </w:tr>
      <w:tr>
        <w:trPr>
          <w:cantSplit/>
        </w:trPr>
        <w:tc>
          <w:tcPr>
            <w:tcW w:type="dxa" w:w="4917"/>
            <w:shd w:fill="F6F8FB"/>
            <w:tcMar>
              <w:top w:w="50" w:type="dxa"/>
              <w:start w:w="55" w:type="dxa"/>
              <w:bottom w:w="50" w:type="dxa"/>
              <w:end w:w="55" w:type="dxa"/>
            </w:tcMar>
            <w:vAlign w:val="top"/>
          </w:tcPr>
          <w:p>
            <w:pPr>
              <w:spacing w:after="20"/>
            </w:pPr>
            <w:r>
              <w:rPr>
                <w:sz w:val="14"/>
              </w:rPr>
              <w:t>No certainty from weather forecasts</w:t>
            </w:r>
          </w:p>
        </w:tc>
        <w:tc>
          <w:tcPr>
            <w:tcW w:type="dxa" w:w="4917"/>
            <w:shd w:fill="F6F8FB"/>
            <w:tcMar>
              <w:top w:w="50" w:type="dxa"/>
              <w:start w:w="55" w:type="dxa"/>
              <w:bottom w:w="50" w:type="dxa"/>
              <w:end w:w="55" w:type="dxa"/>
            </w:tcMar>
            <w:vAlign w:val="top"/>
          </w:tcPr>
          <w:p>
            <w:pPr>
              <w:spacing w:after="20"/>
            </w:pPr>
            <w:r>
              <w:rPr>
                <w:sz w:val="14"/>
              </w:rPr>
              <w:t>Forecasts are probabilistic and can fail at field scale.</w:t>
            </w:r>
          </w:p>
        </w:tc>
      </w:tr>
      <w:tr>
        <w:trPr>
          <w:cantSplit/>
        </w:trPr>
        <w:tc>
          <w:tcPr>
            <w:tcW w:type="dxa" w:w="4917"/>
            <w:tcMar>
              <w:top w:w="50" w:type="dxa"/>
              <w:start w:w="55" w:type="dxa"/>
              <w:bottom w:w="50" w:type="dxa"/>
              <w:end w:w="55" w:type="dxa"/>
            </w:tcMar>
            <w:vAlign w:val="top"/>
          </w:tcPr>
          <w:p>
            <w:pPr>
              <w:spacing w:after="20"/>
            </w:pPr>
            <w:r>
              <w:rPr>
                <w:sz w:val="14"/>
              </w:rPr>
              <w:t>No premature processing scale</w:t>
            </w:r>
          </w:p>
        </w:tc>
        <w:tc>
          <w:tcPr>
            <w:tcW w:type="dxa" w:w="4917"/>
            <w:tcMar>
              <w:top w:w="50" w:type="dxa"/>
              <w:start w:w="55" w:type="dxa"/>
              <w:bottom w:w="50" w:type="dxa"/>
              <w:end w:w="55" w:type="dxa"/>
            </w:tcMar>
            <w:vAlign w:val="top"/>
          </w:tcPr>
          <w:p>
            <w:pPr>
              <w:spacing w:after="20"/>
            </w:pPr>
            <w:r>
              <w:rPr>
                <w:sz w:val="14"/>
              </w:rPr>
              <w:t>Facilities require supply, demand, permits, safety, competence and finance.</w:t>
            </w:r>
          </w:p>
        </w:tc>
      </w:tr>
      <w:tr>
        <w:trPr>
          <w:cantSplit/>
        </w:trPr>
        <w:tc>
          <w:tcPr>
            <w:tcW w:type="dxa" w:w="4917"/>
            <w:shd w:fill="F6F8FB"/>
            <w:tcMar>
              <w:top w:w="50" w:type="dxa"/>
              <w:start w:w="55" w:type="dxa"/>
              <w:bottom w:w="50" w:type="dxa"/>
              <w:end w:w="55" w:type="dxa"/>
            </w:tcMar>
            <w:vAlign w:val="top"/>
          </w:tcPr>
          <w:p>
            <w:pPr>
              <w:spacing w:after="20"/>
            </w:pPr>
            <w:r>
              <w:rPr>
                <w:sz w:val="14"/>
              </w:rPr>
              <w:t>No displacement of food, water or land rights</w:t>
            </w:r>
          </w:p>
        </w:tc>
        <w:tc>
          <w:tcPr>
            <w:tcW w:type="dxa" w:w="4917"/>
            <w:shd w:fill="F6F8FB"/>
            <w:tcMar>
              <w:top w:w="50" w:type="dxa"/>
              <w:start w:w="55" w:type="dxa"/>
              <w:bottom w:w="50" w:type="dxa"/>
              <w:end w:w="55" w:type="dxa"/>
            </w:tcMar>
            <w:vAlign w:val="top"/>
          </w:tcPr>
          <w:p>
            <w:pPr>
              <w:spacing w:after="20"/>
            </w:pPr>
            <w:r>
              <w:rPr>
                <w:sz w:val="14"/>
              </w:rPr>
              <w:t>Feedstock and fibre expansion must protect household and community priorities.</w:t>
            </w:r>
          </w:p>
        </w:tc>
      </w:tr>
      <w:tr>
        <w:trPr>
          <w:cantSplit/>
        </w:trPr>
        <w:tc>
          <w:tcPr>
            <w:tcW w:type="dxa" w:w="4917"/>
            <w:tcMar>
              <w:top w:w="50" w:type="dxa"/>
              <w:start w:w="55" w:type="dxa"/>
              <w:bottom w:w="50" w:type="dxa"/>
              <w:end w:w="55" w:type="dxa"/>
            </w:tcMar>
            <w:vAlign w:val="top"/>
          </w:tcPr>
          <w:p>
            <w:pPr>
              <w:spacing w:after="20"/>
            </w:pPr>
            <w:r>
              <w:rPr>
                <w:sz w:val="14"/>
              </w:rPr>
              <w:t>No opaque ESG or climate claims</w:t>
            </w:r>
          </w:p>
        </w:tc>
        <w:tc>
          <w:tcPr>
            <w:tcW w:type="dxa" w:w="4917"/>
            <w:tcMar>
              <w:top w:w="50" w:type="dxa"/>
              <w:start w:w="55" w:type="dxa"/>
              <w:bottom w:w="50" w:type="dxa"/>
              <w:end w:w="55" w:type="dxa"/>
            </w:tcMar>
            <w:vAlign w:val="top"/>
          </w:tcPr>
          <w:p>
            <w:pPr>
              <w:spacing w:after="20"/>
            </w:pPr>
            <w:r>
              <w:rPr>
                <w:sz w:val="14"/>
              </w:rPr>
              <w:t>Claims require a defined boundary, method, evidence and approval.</w:t>
            </w:r>
          </w:p>
        </w:tc>
      </w:tr>
    </w:tbl>
    <w:p>
      <w:pPr>
        <w:pStyle w:val="Heading2"/>
      </w:pPr>
      <w:r>
        <w:t>8.3 Recommendations</w:t>
      </w:r>
    </w:p>
    <w:p>
      <w:pPr>
        <w:pStyle w:val="ListNumber"/>
        <w:spacing w:after="60"/>
      </w:pPr>
      <w:r>
        <w:t>Adopt AfriEuro Links as the governed market, evidence and interoperability layer across the Labl-Crostar ecosystem.</w:t>
      </w:r>
    </w:p>
    <w:p>
      <w:pPr>
        <w:pStyle w:val="ListNumber"/>
        <w:spacing w:after="60"/>
      </w:pPr>
      <w:r>
        <w:t>Keep Afribiz Consultancy Limited and Goblis Foundation as separate partners with distinct contracts, budgets and controls.</w:t>
      </w:r>
    </w:p>
    <w:p>
      <w:pPr>
        <w:pStyle w:val="ListNumber"/>
        <w:spacing w:after="60"/>
      </w:pPr>
      <w:r>
        <w:t>Establish a Product, Data, AI and Interoperability Governance Committee before production deployment.</w:t>
      </w:r>
    </w:p>
    <w:p>
      <w:pPr>
        <w:pStyle w:val="ListNumber"/>
        <w:spacing w:after="60"/>
      </w:pPr>
      <w:r>
        <w:t>Partner with KMD, county meteorological services, TAHMO and qualified providers before procuring new weather stations.</w:t>
      </w:r>
    </w:p>
    <w:p>
      <w:pPr>
        <w:pStyle w:val="ListNumber"/>
        <w:spacing w:after="60"/>
      </w:pPr>
      <w:r>
        <w:t>Use all authorised mobile-money, payment-gateway and banking routes through provider-neutral licensed integrations.</w:t>
      </w:r>
    </w:p>
    <w:p>
      <w:pPr>
        <w:pStyle w:val="ListNumber"/>
        <w:spacing w:after="60"/>
      </w:pPr>
      <w:r>
        <w:t>Implement GIS, traceability and payment foundations before relying on advanced AI models.</w:t>
      </w:r>
    </w:p>
    <w:p>
      <w:pPr>
        <w:pStyle w:val="ListNumber"/>
        <w:spacing w:after="60"/>
      </w:pPr>
      <w:r>
        <w:t>Use conservative ESG and climate-finance claims with transparent methodologies and independent review.</w:t>
      </w:r>
    </w:p>
    <w:p>
      <w:pPr>
        <w:pStyle w:val="ListNumber"/>
        <w:spacing w:after="60"/>
      </w:pPr>
      <w:r>
        <w:t>Protect household food security and develop cottonseed and oilseed pathways through crop-specific technical and safety gates.</w:t>
      </w:r>
    </w:p>
    <w:p>
      <w:pPr>
        <w:pStyle w:val="ListNumber"/>
        <w:spacing w:after="60"/>
      </w:pPr>
      <w:r>
        <w:t>Build a diversified Kenyan, East African, Dutch and wider EU buyer and investment portfolio.</w:t>
      </w:r>
    </w:p>
    <w:p>
      <w:pPr>
        <w:pStyle w:val="ListNumber"/>
        <w:spacing w:after="60"/>
      </w:pPr>
      <w:r>
        <w:t>Transition AfriEuro Links into a global marketing site while keeping LaDOS and CEOS independent, secure and interoperable.</w:t>
      </w:r>
    </w:p>
    <w:p>
      <w:pPr>
        <w:pStyle w:val="Heading1"/>
      </w:pPr>
      <w:r>
        <w:t>Conclusion</w:t>
      </w:r>
    </w:p>
    <w:p>
      <w:r>
        <w:t>AfriEuro Links offers a practical framework for transforming separate agricultural, fashion and energy initiatives into a transparent market system. Its value lies in disciplined coordination: verified people and organisations, mapped production, integrated weather and finance, controlled chain of custody, responsible transformation, credible ESG evidence, circular use of materials and multi-market engagement. Technology is essential, but governance, commercial realism and participant benefit determine whether the system becomes durable.</w:t>
      </w:r>
    </w:p>
    <w:p>
      <w:r>
        <w:br w:type="page"/>
      </w:r>
    </w:p>
    <w:p>
      <w:pPr>
        <w:pStyle w:val="Heading1"/>
      </w:pPr>
      <w:r>
        <w:t>Appendix 1. Reference Data Domains</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Domain</w:t>
            </w:r>
          </w:p>
        </w:tc>
        <w:tc>
          <w:tcPr>
            <w:tcW w:type="dxa" w:w="3278"/>
            <w:shd w:fill="17375E"/>
            <w:tcMar>
              <w:top w:w="55" w:type="dxa"/>
              <w:start w:w="60" w:type="dxa"/>
              <w:bottom w:w="55" w:type="dxa"/>
              <w:end w:w="60" w:type="dxa"/>
            </w:tcMar>
          </w:tcPr>
          <w:p>
            <w:pPr>
              <w:jc w:val="center"/>
            </w:pPr>
            <w:r>
              <w:rPr>
                <w:b/>
                <w:color w:val="FFFFFF"/>
                <w:sz w:val="14"/>
              </w:rPr>
              <w:t>Examples</w:t>
            </w:r>
          </w:p>
        </w:tc>
        <w:tc>
          <w:tcPr>
            <w:tcW w:type="dxa" w:w="3278"/>
            <w:shd w:fill="17375E"/>
            <w:tcMar>
              <w:top w:w="55" w:type="dxa"/>
              <w:start w:w="60" w:type="dxa"/>
              <w:bottom w:w="55" w:type="dxa"/>
              <w:end w:w="60" w:type="dxa"/>
            </w:tcMar>
          </w:tcPr>
          <w:p>
            <w:pPr>
              <w:jc w:val="center"/>
            </w:pPr>
            <w:r>
              <w:rPr>
                <w:b/>
                <w:color w:val="FFFFFF"/>
                <w:sz w:val="14"/>
              </w:rPr>
              <w:t>Primary system</w:t>
            </w:r>
          </w:p>
        </w:tc>
      </w:tr>
      <w:tr>
        <w:trPr>
          <w:cantSplit/>
        </w:trPr>
        <w:tc>
          <w:tcPr>
            <w:tcW w:type="dxa" w:w="3278"/>
            <w:tcMar>
              <w:top w:w="50" w:type="dxa"/>
              <w:start w:w="55" w:type="dxa"/>
              <w:bottom w:w="50" w:type="dxa"/>
              <w:end w:w="55" w:type="dxa"/>
            </w:tcMar>
            <w:vAlign w:val="top"/>
          </w:tcPr>
          <w:p>
            <w:pPr>
              <w:spacing w:after="20"/>
            </w:pPr>
            <w:r>
              <w:rPr>
                <w:sz w:val="14"/>
              </w:rPr>
              <w:t>People and organisations</w:t>
            </w:r>
          </w:p>
        </w:tc>
        <w:tc>
          <w:tcPr>
            <w:tcW w:type="dxa" w:w="3278"/>
            <w:tcMar>
              <w:top w:w="50" w:type="dxa"/>
              <w:start w:w="55" w:type="dxa"/>
              <w:bottom w:w="50" w:type="dxa"/>
              <w:end w:w="55" w:type="dxa"/>
            </w:tcMar>
            <w:vAlign w:val="top"/>
          </w:tcPr>
          <w:p>
            <w:pPr>
              <w:spacing w:after="20"/>
            </w:pPr>
            <w:r>
              <w:rPr>
                <w:sz w:val="14"/>
              </w:rPr>
              <w:t>Participants, roles, groups, enterprises, consent, eligibility and grievances.</w:t>
            </w:r>
          </w:p>
        </w:tc>
        <w:tc>
          <w:tcPr>
            <w:tcW w:type="dxa" w:w="3278"/>
            <w:tcMar>
              <w:top w:w="50" w:type="dxa"/>
              <w:start w:w="55" w:type="dxa"/>
              <w:bottom w:w="50" w:type="dxa"/>
              <w:end w:w="55" w:type="dxa"/>
            </w:tcMar>
            <w:vAlign w:val="top"/>
          </w:tcPr>
          <w:p>
            <w:pPr>
              <w:spacing w:after="20"/>
            </w:pPr>
            <w:r>
              <w:rPr>
                <w:sz w:val="14"/>
              </w:rPr>
              <w:t>LaDOS/CEOS with approved AfriEuro Links exchange.</w:t>
            </w:r>
          </w:p>
        </w:tc>
      </w:tr>
      <w:tr>
        <w:trPr>
          <w:cantSplit/>
        </w:trPr>
        <w:tc>
          <w:tcPr>
            <w:tcW w:type="dxa" w:w="3278"/>
            <w:shd w:fill="F6F8FB"/>
            <w:tcMar>
              <w:top w:w="50" w:type="dxa"/>
              <w:start w:w="55" w:type="dxa"/>
              <w:bottom w:w="50" w:type="dxa"/>
              <w:end w:w="55" w:type="dxa"/>
            </w:tcMar>
            <w:vAlign w:val="top"/>
          </w:tcPr>
          <w:p>
            <w:pPr>
              <w:spacing w:after="20"/>
            </w:pPr>
            <w:r>
              <w:rPr>
                <w:sz w:val="14"/>
              </w:rPr>
              <w:t>GIS and environment</w:t>
            </w:r>
          </w:p>
        </w:tc>
        <w:tc>
          <w:tcPr>
            <w:tcW w:type="dxa" w:w="3278"/>
            <w:shd w:fill="F6F8FB"/>
            <w:tcMar>
              <w:top w:w="50" w:type="dxa"/>
              <w:start w:w="55" w:type="dxa"/>
              <w:bottom w:w="50" w:type="dxa"/>
              <w:end w:w="55" w:type="dxa"/>
            </w:tcMar>
            <w:vAlign w:val="top"/>
          </w:tcPr>
          <w:p>
            <w:pPr>
              <w:spacing w:after="20"/>
            </w:pPr>
            <w:r>
              <w:rPr>
                <w:sz w:val="14"/>
              </w:rPr>
              <w:t>Plots, land use, water, sensitive areas, infrastructure, incidents and mitigation.</w:t>
            </w:r>
          </w:p>
        </w:tc>
        <w:tc>
          <w:tcPr>
            <w:tcW w:type="dxa" w:w="3278"/>
            <w:shd w:fill="F6F8FB"/>
            <w:tcMar>
              <w:top w:w="50" w:type="dxa"/>
              <w:start w:w="55" w:type="dxa"/>
              <w:bottom w:w="50" w:type="dxa"/>
              <w:end w:w="55" w:type="dxa"/>
            </w:tcMar>
            <w:vAlign w:val="top"/>
          </w:tcPr>
          <w:p>
            <w:pPr>
              <w:spacing w:after="20"/>
            </w:pPr>
            <w:r>
              <w:rPr>
                <w:sz w:val="14"/>
              </w:rPr>
              <w:t>LaDOS/CEOS; AfriEuro Links presentation only where authorised.</w:t>
            </w:r>
          </w:p>
        </w:tc>
      </w:tr>
      <w:tr>
        <w:trPr>
          <w:cantSplit/>
        </w:trPr>
        <w:tc>
          <w:tcPr>
            <w:tcW w:type="dxa" w:w="3278"/>
            <w:tcMar>
              <w:top w:w="50" w:type="dxa"/>
              <w:start w:w="55" w:type="dxa"/>
              <w:bottom w:w="50" w:type="dxa"/>
              <w:end w:w="55" w:type="dxa"/>
            </w:tcMar>
            <w:vAlign w:val="top"/>
          </w:tcPr>
          <w:p>
            <w:pPr>
              <w:spacing w:after="20"/>
            </w:pPr>
            <w:r>
              <w:rPr>
                <w:sz w:val="14"/>
              </w:rPr>
              <w:t>Agriculture and weather</w:t>
            </w:r>
          </w:p>
        </w:tc>
        <w:tc>
          <w:tcPr>
            <w:tcW w:type="dxa" w:w="3278"/>
            <w:tcMar>
              <w:top w:w="50" w:type="dxa"/>
              <w:start w:w="55" w:type="dxa"/>
              <w:bottom w:w="50" w:type="dxa"/>
              <w:end w:w="55" w:type="dxa"/>
            </w:tcMar>
            <w:vAlign w:val="top"/>
          </w:tcPr>
          <w:p>
            <w:pPr>
              <w:spacing w:after="20"/>
            </w:pPr>
            <w:r>
              <w:rPr>
                <w:sz w:val="14"/>
              </w:rPr>
              <w:t>Seasons, crops, extension, practices, station observations, forecasts and advisories.</w:t>
            </w:r>
          </w:p>
        </w:tc>
        <w:tc>
          <w:tcPr>
            <w:tcW w:type="dxa" w:w="3278"/>
            <w:tcMar>
              <w:top w:w="50" w:type="dxa"/>
              <w:start w:w="55" w:type="dxa"/>
              <w:bottom w:w="50" w:type="dxa"/>
              <w:end w:w="55" w:type="dxa"/>
            </w:tcMar>
            <w:vAlign w:val="top"/>
          </w:tcPr>
          <w:p>
            <w:pPr>
              <w:spacing w:after="20"/>
            </w:pPr>
            <w:r>
              <w:rPr>
                <w:sz w:val="14"/>
              </w:rPr>
              <w:t>LaDOS with weather-provider integrations.</w:t>
            </w:r>
          </w:p>
        </w:tc>
      </w:tr>
      <w:tr>
        <w:trPr>
          <w:cantSplit/>
        </w:trPr>
        <w:tc>
          <w:tcPr>
            <w:tcW w:type="dxa" w:w="3278"/>
            <w:shd w:fill="F6F8FB"/>
            <w:tcMar>
              <w:top w:w="50" w:type="dxa"/>
              <w:start w:w="55" w:type="dxa"/>
              <w:bottom w:w="50" w:type="dxa"/>
              <w:end w:w="55" w:type="dxa"/>
            </w:tcMar>
            <w:vAlign w:val="top"/>
          </w:tcPr>
          <w:p>
            <w:pPr>
              <w:spacing w:after="20"/>
            </w:pPr>
            <w:r>
              <w:rPr>
                <w:sz w:val="14"/>
              </w:rPr>
              <w:t>Feedstock and energy</w:t>
            </w:r>
          </w:p>
        </w:tc>
        <w:tc>
          <w:tcPr>
            <w:tcW w:type="dxa" w:w="3278"/>
            <w:shd w:fill="F6F8FB"/>
            <w:tcMar>
              <w:top w:w="50" w:type="dxa"/>
              <w:start w:w="55" w:type="dxa"/>
              <w:bottom w:w="50" w:type="dxa"/>
              <w:end w:w="55" w:type="dxa"/>
            </w:tcMar>
            <w:vAlign w:val="top"/>
          </w:tcPr>
          <w:p>
            <w:pPr>
              <w:spacing w:after="20"/>
            </w:pPr>
            <w:r>
              <w:rPr>
                <w:sz w:val="14"/>
              </w:rPr>
              <w:t>Oilseed/UCO sources, lots, storage, extraction, process, quality, HSE and products.</w:t>
            </w:r>
          </w:p>
        </w:tc>
        <w:tc>
          <w:tcPr>
            <w:tcW w:type="dxa" w:w="3278"/>
            <w:shd w:fill="F6F8FB"/>
            <w:tcMar>
              <w:top w:w="50" w:type="dxa"/>
              <w:start w:w="55" w:type="dxa"/>
              <w:bottom w:w="50" w:type="dxa"/>
              <w:end w:w="55" w:type="dxa"/>
            </w:tcMar>
            <w:vAlign w:val="top"/>
          </w:tcPr>
          <w:p>
            <w:pPr>
              <w:spacing w:after="20"/>
            </w:pPr>
            <w:r>
              <w:rPr>
                <w:sz w:val="14"/>
              </w:rPr>
              <w:t>CEOS.</w:t>
            </w:r>
          </w:p>
        </w:tc>
      </w:tr>
      <w:tr>
        <w:trPr>
          <w:cantSplit/>
        </w:trPr>
        <w:tc>
          <w:tcPr>
            <w:tcW w:type="dxa" w:w="3278"/>
            <w:tcMar>
              <w:top w:w="50" w:type="dxa"/>
              <w:start w:w="55" w:type="dxa"/>
              <w:bottom w:w="50" w:type="dxa"/>
              <w:end w:w="55" w:type="dxa"/>
            </w:tcMar>
            <w:vAlign w:val="top"/>
          </w:tcPr>
          <w:p>
            <w:pPr>
              <w:spacing w:after="20"/>
            </w:pPr>
            <w:r>
              <w:rPr>
                <w:sz w:val="14"/>
              </w:rPr>
              <w:t>Fashion and products</w:t>
            </w:r>
          </w:p>
        </w:tc>
        <w:tc>
          <w:tcPr>
            <w:tcW w:type="dxa" w:w="3278"/>
            <w:tcMar>
              <w:top w:w="50" w:type="dxa"/>
              <w:start w:w="55" w:type="dxa"/>
              <w:bottom w:w="50" w:type="dxa"/>
              <w:end w:w="55" w:type="dxa"/>
            </w:tcMar>
            <w:vAlign w:val="top"/>
          </w:tcPr>
          <w:p>
            <w:pPr>
              <w:spacing w:after="20"/>
            </w:pPr>
            <w:r>
              <w:rPr>
                <w:sz w:val="14"/>
              </w:rPr>
              <w:t>Materials, technical packs, batches, quality, garments, QR, return and circularity.</w:t>
            </w:r>
          </w:p>
        </w:tc>
        <w:tc>
          <w:tcPr>
            <w:tcW w:type="dxa" w:w="3278"/>
            <w:tcMar>
              <w:top w:w="50" w:type="dxa"/>
              <w:start w:w="55" w:type="dxa"/>
              <w:bottom w:w="50" w:type="dxa"/>
              <w:end w:w="55" w:type="dxa"/>
            </w:tcMar>
            <w:vAlign w:val="top"/>
          </w:tcPr>
          <w:p>
            <w:pPr>
              <w:spacing w:after="20"/>
            </w:pPr>
            <w:r>
              <w:rPr>
                <w:sz w:val="14"/>
              </w:rPr>
              <w:t>LaDOS.</w:t>
            </w:r>
          </w:p>
        </w:tc>
      </w:tr>
      <w:tr>
        <w:trPr>
          <w:cantSplit/>
        </w:trPr>
        <w:tc>
          <w:tcPr>
            <w:tcW w:type="dxa" w:w="3278"/>
            <w:shd w:fill="F6F8FB"/>
            <w:tcMar>
              <w:top w:w="50" w:type="dxa"/>
              <w:start w:w="55" w:type="dxa"/>
              <w:bottom w:w="50" w:type="dxa"/>
              <w:end w:w="55" w:type="dxa"/>
            </w:tcMar>
            <w:vAlign w:val="top"/>
          </w:tcPr>
          <w:p>
            <w:pPr>
              <w:spacing w:after="20"/>
            </w:pPr>
            <w:r>
              <w:rPr>
                <w:sz w:val="14"/>
              </w:rPr>
              <w:t>Commerce and payments</w:t>
            </w:r>
          </w:p>
        </w:tc>
        <w:tc>
          <w:tcPr>
            <w:tcW w:type="dxa" w:w="3278"/>
            <w:shd w:fill="F6F8FB"/>
            <w:tcMar>
              <w:top w:w="50" w:type="dxa"/>
              <w:start w:w="55" w:type="dxa"/>
              <w:bottom w:w="50" w:type="dxa"/>
              <w:end w:w="55" w:type="dxa"/>
            </w:tcMar>
            <w:vAlign w:val="top"/>
          </w:tcPr>
          <w:p>
            <w:pPr>
              <w:spacing w:after="20"/>
            </w:pPr>
            <w:r>
              <w:rPr>
                <w:sz w:val="14"/>
              </w:rPr>
              <w:t>Specifications, contracts, orders, invoices, settlement, reconciliation and disputes.</w:t>
            </w:r>
          </w:p>
        </w:tc>
        <w:tc>
          <w:tcPr>
            <w:tcW w:type="dxa" w:w="3278"/>
            <w:shd w:fill="F6F8FB"/>
            <w:tcMar>
              <w:top w:w="50" w:type="dxa"/>
              <w:start w:w="55" w:type="dxa"/>
              <w:bottom w:w="50" w:type="dxa"/>
              <w:end w:w="55" w:type="dxa"/>
            </w:tcMar>
            <w:vAlign w:val="top"/>
          </w:tcPr>
          <w:p>
            <w:pPr>
              <w:spacing w:after="20"/>
            </w:pPr>
            <w:r>
              <w:rPr>
                <w:sz w:val="14"/>
              </w:rPr>
              <w:t>LaDOS/CEOS with licensed-provider integrations.</w:t>
            </w:r>
          </w:p>
        </w:tc>
      </w:tr>
      <w:tr>
        <w:trPr>
          <w:cantSplit/>
        </w:trPr>
        <w:tc>
          <w:tcPr>
            <w:tcW w:type="dxa" w:w="3278"/>
            <w:tcMar>
              <w:top w:w="50" w:type="dxa"/>
              <w:start w:w="55" w:type="dxa"/>
              <w:bottom w:w="50" w:type="dxa"/>
              <w:end w:w="55" w:type="dxa"/>
            </w:tcMar>
            <w:vAlign w:val="top"/>
          </w:tcPr>
          <w:p>
            <w:pPr>
              <w:spacing w:after="20"/>
            </w:pPr>
            <w:r>
              <w:rPr>
                <w:sz w:val="14"/>
              </w:rPr>
              <w:t>ESG and climate finance</w:t>
            </w:r>
          </w:p>
        </w:tc>
        <w:tc>
          <w:tcPr>
            <w:tcW w:type="dxa" w:w="3278"/>
            <w:tcMar>
              <w:top w:w="50" w:type="dxa"/>
              <w:start w:w="55" w:type="dxa"/>
              <w:bottom w:w="50" w:type="dxa"/>
              <w:end w:w="55" w:type="dxa"/>
            </w:tcMar>
            <w:vAlign w:val="top"/>
          </w:tcPr>
          <w:p>
            <w:pPr>
              <w:spacing w:after="20"/>
            </w:pPr>
            <w:r>
              <w:rPr>
                <w:sz w:val="14"/>
              </w:rPr>
              <w:t>Indicators, baselines, evidence, claims, audits, methodologies and benefit sharing.</w:t>
            </w:r>
          </w:p>
        </w:tc>
        <w:tc>
          <w:tcPr>
            <w:tcW w:type="dxa" w:w="3278"/>
            <w:tcMar>
              <w:top w:w="50" w:type="dxa"/>
              <w:start w:w="55" w:type="dxa"/>
              <w:bottom w:w="50" w:type="dxa"/>
              <w:end w:w="55" w:type="dxa"/>
            </w:tcMar>
            <w:vAlign w:val="top"/>
          </w:tcPr>
          <w:p>
            <w:pPr>
              <w:spacing w:after="20"/>
            </w:pPr>
            <w:r>
              <w:rPr>
                <w:sz w:val="14"/>
              </w:rPr>
              <w:t>Source systems with AfriEuro Links reporting and market presentation.</w:t>
            </w:r>
          </w:p>
        </w:tc>
      </w:tr>
      <w:tr>
        <w:trPr>
          <w:cantSplit/>
        </w:trPr>
        <w:tc>
          <w:tcPr>
            <w:tcW w:type="dxa" w:w="3278"/>
            <w:shd w:fill="F6F8FB"/>
            <w:tcMar>
              <w:top w:w="50" w:type="dxa"/>
              <w:start w:w="55" w:type="dxa"/>
              <w:bottom w:w="50" w:type="dxa"/>
              <w:end w:w="55" w:type="dxa"/>
            </w:tcMar>
            <w:vAlign w:val="top"/>
          </w:tcPr>
          <w:p>
            <w:pPr>
              <w:spacing w:after="20"/>
            </w:pPr>
            <w:r>
              <w:rPr>
                <w:sz w:val="14"/>
              </w:rPr>
              <w:t>AI and analytics</w:t>
            </w:r>
          </w:p>
        </w:tc>
        <w:tc>
          <w:tcPr>
            <w:tcW w:type="dxa" w:w="3278"/>
            <w:shd w:fill="F6F8FB"/>
            <w:tcMar>
              <w:top w:w="50" w:type="dxa"/>
              <w:start w:w="55" w:type="dxa"/>
              <w:bottom w:w="50" w:type="dxa"/>
              <w:end w:w="55" w:type="dxa"/>
            </w:tcMar>
            <w:vAlign w:val="top"/>
          </w:tcPr>
          <w:p>
            <w:pPr>
              <w:spacing w:after="20"/>
            </w:pPr>
            <w:r>
              <w:rPr>
                <w:sz w:val="14"/>
              </w:rPr>
              <w:t>Models, versions, performance, alerts, overrides and incidents.</w:t>
            </w:r>
          </w:p>
        </w:tc>
        <w:tc>
          <w:tcPr>
            <w:tcW w:type="dxa" w:w="3278"/>
            <w:shd w:fill="F6F8FB"/>
            <w:tcMar>
              <w:top w:w="50" w:type="dxa"/>
              <w:start w:w="55" w:type="dxa"/>
              <w:bottom w:w="50" w:type="dxa"/>
              <w:end w:w="55" w:type="dxa"/>
            </w:tcMar>
            <w:vAlign w:val="top"/>
          </w:tcPr>
          <w:p>
            <w:pPr>
              <w:spacing w:after="20"/>
            </w:pPr>
            <w:r>
              <w:rPr>
                <w:sz w:val="14"/>
              </w:rPr>
              <w:t>Independent system model registers and shared governance.</w:t>
            </w:r>
          </w:p>
        </w:tc>
      </w:tr>
    </w:tbl>
    <w:p>
      <w:pPr>
        <w:pStyle w:val="Heading1"/>
      </w:pPr>
      <w:r>
        <w:t>Appendix 2. Selected ESG Indicator Framework</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Dimension</w:t>
            </w:r>
          </w:p>
        </w:tc>
        <w:tc>
          <w:tcPr>
            <w:tcW w:type="dxa" w:w="3278"/>
            <w:shd w:fill="17375E"/>
            <w:tcMar>
              <w:top w:w="55" w:type="dxa"/>
              <w:start w:w="60" w:type="dxa"/>
              <w:bottom w:w="55" w:type="dxa"/>
              <w:end w:w="60" w:type="dxa"/>
            </w:tcMar>
          </w:tcPr>
          <w:p>
            <w:pPr>
              <w:jc w:val="center"/>
            </w:pPr>
            <w:r>
              <w:rPr>
                <w:b/>
                <w:color w:val="FFFFFF"/>
                <w:sz w:val="14"/>
              </w:rPr>
              <w:t>Illustrative indicators</w:t>
            </w:r>
          </w:p>
        </w:tc>
        <w:tc>
          <w:tcPr>
            <w:tcW w:type="dxa" w:w="3278"/>
            <w:shd w:fill="17375E"/>
            <w:tcMar>
              <w:top w:w="55" w:type="dxa"/>
              <w:start w:w="60" w:type="dxa"/>
              <w:bottom w:w="55" w:type="dxa"/>
              <w:end w:w="60" w:type="dxa"/>
            </w:tcMar>
          </w:tcPr>
          <w:p>
            <w:pPr>
              <w:jc w:val="center"/>
            </w:pPr>
            <w:r>
              <w:rPr>
                <w:b/>
                <w:color w:val="FFFFFF"/>
                <w:sz w:val="14"/>
              </w:rPr>
              <w:t>Evidence standard</w:t>
            </w:r>
          </w:p>
        </w:tc>
      </w:tr>
      <w:tr>
        <w:trPr>
          <w:cantSplit/>
        </w:trPr>
        <w:tc>
          <w:tcPr>
            <w:tcW w:type="dxa" w:w="3278"/>
            <w:tcMar>
              <w:top w:w="50" w:type="dxa"/>
              <w:start w:w="55" w:type="dxa"/>
              <w:bottom w:w="50" w:type="dxa"/>
              <w:end w:w="55" w:type="dxa"/>
            </w:tcMar>
            <w:vAlign w:val="top"/>
          </w:tcPr>
          <w:p>
            <w:pPr>
              <w:spacing w:after="20"/>
            </w:pPr>
            <w:r>
              <w:rPr>
                <w:sz w:val="14"/>
              </w:rPr>
              <w:t>Environmental</w:t>
            </w:r>
          </w:p>
        </w:tc>
        <w:tc>
          <w:tcPr>
            <w:tcW w:type="dxa" w:w="3278"/>
            <w:tcMar>
              <w:top w:w="50" w:type="dxa"/>
              <w:start w:w="55" w:type="dxa"/>
              <w:bottom w:w="50" w:type="dxa"/>
              <w:end w:w="55" w:type="dxa"/>
            </w:tcMar>
            <w:vAlign w:val="top"/>
          </w:tcPr>
          <w:p>
            <w:pPr>
              <w:spacing w:after="20"/>
            </w:pPr>
            <w:r>
              <w:rPr>
                <w:sz w:val="14"/>
              </w:rPr>
              <w:t>Mapped practices, soil/water observations, input use, energy, waste, emissions incidents and mitigation.</w:t>
            </w:r>
          </w:p>
        </w:tc>
        <w:tc>
          <w:tcPr>
            <w:tcW w:type="dxa" w:w="3278"/>
            <w:tcMar>
              <w:top w:w="50" w:type="dxa"/>
              <w:start w:w="55" w:type="dxa"/>
              <w:bottom w:w="50" w:type="dxa"/>
              <w:end w:w="55" w:type="dxa"/>
            </w:tcMar>
            <w:vAlign w:val="top"/>
          </w:tcPr>
          <w:p>
            <w:pPr>
              <w:spacing w:after="20"/>
            </w:pPr>
            <w:r>
              <w:rPr>
                <w:sz w:val="14"/>
              </w:rPr>
              <w:t>Source, period, boundary, method, confidence and verification status.</w:t>
            </w:r>
          </w:p>
        </w:tc>
      </w:tr>
      <w:tr>
        <w:trPr>
          <w:cantSplit/>
        </w:trPr>
        <w:tc>
          <w:tcPr>
            <w:tcW w:type="dxa" w:w="3278"/>
            <w:shd w:fill="F6F8FB"/>
            <w:tcMar>
              <w:top w:w="50" w:type="dxa"/>
              <w:start w:w="55" w:type="dxa"/>
              <w:bottom w:w="50" w:type="dxa"/>
              <w:end w:w="55" w:type="dxa"/>
            </w:tcMar>
            <w:vAlign w:val="top"/>
          </w:tcPr>
          <w:p>
            <w:pPr>
              <w:spacing w:after="20"/>
            </w:pPr>
            <w:r>
              <w:rPr>
                <w:sz w:val="14"/>
              </w:rPr>
              <w:t>Social</w:t>
            </w:r>
          </w:p>
        </w:tc>
        <w:tc>
          <w:tcPr>
            <w:tcW w:type="dxa" w:w="3278"/>
            <w:shd w:fill="F6F8FB"/>
            <w:tcMar>
              <w:top w:w="50" w:type="dxa"/>
              <w:start w:w="55" w:type="dxa"/>
              <w:bottom w:w="50" w:type="dxa"/>
              <w:end w:w="55" w:type="dxa"/>
            </w:tcMar>
            <w:vAlign w:val="top"/>
          </w:tcPr>
          <w:p>
            <w:pPr>
              <w:spacing w:after="20"/>
            </w:pPr>
            <w:r>
              <w:rPr>
                <w:sz w:val="14"/>
              </w:rPr>
              <w:t>Payments, income-source diversification, food production, safe work, inclusion, training and grievances.</w:t>
            </w:r>
          </w:p>
        </w:tc>
        <w:tc>
          <w:tcPr>
            <w:tcW w:type="dxa" w:w="3278"/>
            <w:shd w:fill="F6F8FB"/>
            <w:tcMar>
              <w:top w:w="50" w:type="dxa"/>
              <w:start w:w="55" w:type="dxa"/>
              <w:bottom w:w="50" w:type="dxa"/>
              <w:end w:w="55" w:type="dxa"/>
            </w:tcMar>
            <w:vAlign w:val="top"/>
          </w:tcPr>
          <w:p>
            <w:pPr>
              <w:spacing w:after="20"/>
            </w:pPr>
            <w:r>
              <w:rPr>
                <w:sz w:val="14"/>
              </w:rPr>
              <w:t>Participant and transaction evidence; disaggregation and complaint handling.</w:t>
            </w:r>
          </w:p>
        </w:tc>
      </w:tr>
      <w:tr>
        <w:trPr>
          <w:cantSplit/>
        </w:trPr>
        <w:tc>
          <w:tcPr>
            <w:tcW w:type="dxa" w:w="3278"/>
            <w:tcMar>
              <w:top w:w="50" w:type="dxa"/>
              <w:start w:w="55" w:type="dxa"/>
              <w:bottom w:w="50" w:type="dxa"/>
              <w:end w:w="55" w:type="dxa"/>
            </w:tcMar>
            <w:vAlign w:val="top"/>
          </w:tcPr>
          <w:p>
            <w:pPr>
              <w:spacing w:after="20"/>
            </w:pPr>
            <w:r>
              <w:rPr>
                <w:sz w:val="14"/>
              </w:rPr>
              <w:t>Governance</w:t>
            </w:r>
          </w:p>
        </w:tc>
        <w:tc>
          <w:tcPr>
            <w:tcW w:type="dxa" w:w="3278"/>
            <w:tcMar>
              <w:top w:w="50" w:type="dxa"/>
              <w:start w:w="55" w:type="dxa"/>
              <w:bottom w:w="50" w:type="dxa"/>
              <w:end w:w="55" w:type="dxa"/>
            </w:tcMar>
            <w:vAlign w:val="top"/>
          </w:tcPr>
          <w:p>
            <w:pPr>
              <w:spacing w:after="20"/>
            </w:pPr>
            <w:r>
              <w:rPr>
                <w:sz w:val="14"/>
              </w:rPr>
              <w:t>Approvals, audits, conflicts, procurement, data access, AI review, incidents and corrective action.</w:t>
            </w:r>
          </w:p>
        </w:tc>
        <w:tc>
          <w:tcPr>
            <w:tcW w:type="dxa" w:w="3278"/>
            <w:tcMar>
              <w:top w:w="50" w:type="dxa"/>
              <w:start w:w="55" w:type="dxa"/>
              <w:bottom w:w="50" w:type="dxa"/>
              <w:end w:w="55" w:type="dxa"/>
            </w:tcMar>
            <w:vAlign w:val="top"/>
          </w:tcPr>
          <w:p>
            <w:pPr>
              <w:spacing w:after="20"/>
            </w:pPr>
            <w:r>
              <w:rPr>
                <w:sz w:val="14"/>
              </w:rPr>
              <w:t>Documented authority, audit trail and closure evidence.</w:t>
            </w:r>
          </w:p>
        </w:tc>
      </w:tr>
      <w:tr>
        <w:trPr>
          <w:cantSplit/>
        </w:trPr>
        <w:tc>
          <w:tcPr>
            <w:tcW w:type="dxa" w:w="3278"/>
            <w:shd w:fill="F6F8FB"/>
            <w:tcMar>
              <w:top w:w="50" w:type="dxa"/>
              <w:start w:w="55" w:type="dxa"/>
              <w:bottom w:w="50" w:type="dxa"/>
              <w:end w:w="55" w:type="dxa"/>
            </w:tcMar>
            <w:vAlign w:val="top"/>
          </w:tcPr>
          <w:p>
            <w:pPr>
              <w:spacing w:after="20"/>
            </w:pPr>
            <w:r>
              <w:rPr>
                <w:sz w:val="14"/>
              </w:rPr>
              <w:t>Climate finance</w:t>
            </w:r>
          </w:p>
        </w:tc>
        <w:tc>
          <w:tcPr>
            <w:tcW w:type="dxa" w:w="3278"/>
            <w:shd w:fill="F6F8FB"/>
            <w:tcMar>
              <w:top w:w="50" w:type="dxa"/>
              <w:start w:w="55" w:type="dxa"/>
              <w:bottom w:w="50" w:type="dxa"/>
              <w:end w:w="55" w:type="dxa"/>
            </w:tcMar>
            <w:vAlign w:val="top"/>
          </w:tcPr>
          <w:p>
            <w:pPr>
              <w:spacing w:after="20"/>
            </w:pPr>
            <w:r>
              <w:rPr>
                <w:sz w:val="14"/>
              </w:rPr>
              <w:t>Baseline, additionality, monitored outcome, leakage, permanence, verification and benefit sharing.</w:t>
            </w:r>
          </w:p>
        </w:tc>
        <w:tc>
          <w:tcPr>
            <w:tcW w:type="dxa" w:w="3278"/>
            <w:shd w:fill="F6F8FB"/>
            <w:tcMar>
              <w:top w:w="50" w:type="dxa"/>
              <w:start w:w="55" w:type="dxa"/>
              <w:bottom w:w="50" w:type="dxa"/>
              <w:end w:w="55" w:type="dxa"/>
            </w:tcMar>
            <w:vAlign w:val="top"/>
          </w:tcPr>
          <w:p>
            <w:pPr>
              <w:spacing w:after="20"/>
            </w:pPr>
            <w:r>
              <w:rPr>
                <w:sz w:val="14"/>
              </w:rPr>
              <w:t>Methodology-specific and independently assessable evidence.</w:t>
            </w:r>
          </w:p>
        </w:tc>
      </w:tr>
    </w:tbl>
    <w:p>
      <w:pPr>
        <w:pStyle w:val="Heading1"/>
      </w:pPr>
      <w:r>
        <w:t>Appendix 3. Source and Evidence Base</w:t>
      </w:r>
    </w:p>
    <w:p>
      <w:pPr>
        <w:pStyle w:val="ListBullet"/>
        <w:spacing w:after="50"/>
      </w:pPr>
      <w:r>
        <w:t>Labl Group East Africa strategic and business-planning documents.</w:t>
      </w:r>
    </w:p>
    <w:p>
      <w:pPr>
        <w:pStyle w:val="ListBullet"/>
        <w:spacing w:after="50"/>
      </w:pPr>
      <w:r>
        <w:t>Labl Fashion strategic plan and business plan.</w:t>
      </w:r>
    </w:p>
    <w:p>
      <w:pPr>
        <w:pStyle w:val="ListBullet"/>
        <w:spacing w:after="50"/>
      </w:pPr>
      <w:r>
        <w:t>Labl Farms strategic plan and business plan.</w:t>
      </w:r>
    </w:p>
    <w:p>
      <w:pPr>
        <w:pStyle w:val="ListBullet"/>
        <w:spacing w:after="50"/>
      </w:pPr>
      <w:r>
        <w:t>Crostar Energy strategic, business and renewable-energy planning materials.</w:t>
      </w:r>
    </w:p>
    <w:p>
      <w:pPr>
        <w:pStyle w:val="ListBullet"/>
        <w:spacing w:after="50"/>
      </w:pPr>
      <w:r>
        <w:t>AfriEuro Links concept-note and proposal development materials.</w:t>
      </w:r>
    </w:p>
    <w:p>
      <w:pPr>
        <w:pStyle w:val="ListBullet"/>
        <w:spacing w:after="50"/>
      </w:pPr>
      <w:r>
        <w:t>Applicable agriculture, energy, environment, payment, data, labour, standards and trade frameworks.</w:t>
      </w:r>
    </w:p>
    <w:p>
      <w:pPr>
        <w:pStyle w:val="ListBullet"/>
        <w:spacing w:after="50"/>
      </w:pPr>
      <w:r>
        <w:t>Official and qualified weather, climate and research sources used through approved partnerships.</w:t>
      </w:r>
    </w:p>
    <w:p>
      <w:pPr>
        <w:pStyle w:val="ListBullet"/>
        <w:spacing w:after="50"/>
      </w:pPr>
      <w:r>
        <w:t>Buyer, finance and European-market requirements validated for each product and transaction.</w:t>
      </w:r>
    </w:p>
    <w:p>
      <w:r>
        <w:t>This white paper is a strategic framework. It does not guarantee market access, climate finance, certification, yields, income, regulatory approval or investment return. Technical, legal, environmental, financial and commercial due diligence remains necessary before implementation or scale.</w:t>
      </w:r>
    </w:p>
    <w:sectPr w:rsidR="00FC693F" w:rsidRPr="0006063C" w:rsidSect="00034616">
      <w:headerReference w:type="default" r:id="rId9"/>
      <w:footerReference w:type="default" r:id="rId10"/>
      <w:pgSz w:w="11909" w:h="16834"/>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748B"/>
        <w:sz w:val="15"/>
      </w:rPr>
      <w:t xml:space="preserve">www.afrieurolinks.com  |  info@afrieurolinks.com  |  </w:t>
    </w: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4748B"/>
        <w:sz w:val="15"/>
      </w:rPr>
      <w:t>AfriEuro Links White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color w:val="24344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20"/>
      <w:outlineLvl w:val="0"/>
    </w:pPr>
    <w:rPr>
      <w:rFonts w:asciiTheme="majorHAnsi" w:eastAsiaTheme="majorEastAsia" w:hAnsiTheme="majorHAnsi" w:cstheme="majorBidi" w:ascii="Aptos Display" w:hAnsi="Aptos Display"/>
      <w:b/>
      <w:bCs/>
      <w:color w:val="17375E"/>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2E8B57"/>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F2B70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80" w:line="240" w:lineRule="auto" w:before="120"/>
      <w:contextualSpacing/>
    </w:pPr>
    <w:rPr>
      <w:rFonts w:asciiTheme="majorHAnsi" w:eastAsiaTheme="majorEastAsia" w:hAnsiTheme="majorHAnsi" w:cstheme="majorBidi" w:ascii="Aptos Display" w:hAnsi="Aptos Display"/>
      <w:b/>
      <w:color w:val="17375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60" w:after="160"/>
    </w:pPr>
    <w:rPr>
      <w:rFonts w:asciiTheme="majorHAnsi" w:eastAsiaTheme="majorEastAsia" w:hAnsiTheme="majorHAnsi" w:cstheme="majorBidi" w:ascii="Aptos Display" w:hAnsi="Aptos Display"/>
      <w:b w:val="0"/>
      <w:i/>
      <w:iCs/>
      <w:color w:val="243447"/>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69" w:lineRule="auto"/>
    </w:pPr>
    <w:rPr>
      <w:rFonts w:ascii="Aptos" w:hAnsi="Aptos"/>
      <w:color w:val="243447"/>
      <w:sz w:val="22"/>
    </w:rPr>
  </w:style>
  <w:style w:type="paragraph" w:customStyle="1" w:styleId="Callout">
    <w:name w:val="Callout"/>
    <w:pPr>
      <w:spacing w:after="40"/>
    </w:pPr>
    <w:rPr>
      <w:rFonts w:ascii="Aptos" w:hAnsi="Aptos"/>
      <w:color w:val="243447"/>
      <w:sz w:val="19"/>
    </w:rPr>
  </w:style>
  <w:style w:type="paragraph" w:customStyle="1" w:styleId="Small">
    <w:name w:val="Small"/>
    <w:pPr>
      <w:spacing w:after="60"/>
    </w:pPr>
    <w:rPr>
      <w:rFonts w:ascii="Aptos" w:hAnsi="Aptos"/>
      <w:color w:val="64748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AfriEuro Links Professional White Paper</dc:title>
  <dc:subject>Transparent digital and circular bioeconomy architecture</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