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057400" cy="353074"/>
            <wp:docPr id="1" name="Picture 1"/>
            <wp:cNvGraphicFramePr>
              <a:graphicFrameLocks noChangeAspect="1"/>
            </wp:cNvGraphicFramePr>
            <a:graphic>
              <a:graphicData uri="http://schemas.openxmlformats.org/drawingml/2006/picture">
                <pic:pic>
                  <pic:nvPicPr>
                    <pic:cNvPr id="0" name="AfriEuro_Links_Full_Logo.png"/>
                    <pic:cNvPicPr/>
                  </pic:nvPicPr>
                  <pic:blipFill>
                    <a:blip r:embed="rId11"/>
                    <a:stretch>
                      <a:fillRect/>
                    </a:stretch>
                  </pic:blipFill>
                  <pic:spPr>
                    <a:xfrm>
                      <a:off x="0" y="0"/>
                      <a:ext cx="2057400" cy="353074"/>
                    </a:xfrm>
                    <a:prstGeom prst="rect"/>
                  </pic:spPr>
                </pic:pic>
              </a:graphicData>
            </a:graphic>
          </wp:inline>
        </w:drawing>
      </w:r>
    </w:p>
    <w:p>
      <w:pPr>
        <w:spacing w:before="1400"/>
        <w:jc w:val="center"/>
      </w:pPr>
      <w:r>
        <w:t>COMPREHENSIVE PROJECT PROPOSAL</w:t>
      </w:r>
    </w:p>
    <w:p>
      <w:pPr>
        <w:pStyle w:val="Title"/>
        <w:jc w:val="center"/>
      </w:pPr>
      <w:r>
        <w:t>AFRIEURO LINKS</w:t>
        <w:br/>
        <w:t>INTEGRATED VALUE-CHAIN, TRUST AND MARKET INFRASTRUCTURE PROGRAMME</w:t>
      </w:r>
    </w:p>
    <w:p>
      <w:pPr>
        <w:jc w:val="center"/>
      </w:pPr>
      <w:r>
        <w:t>Regenerative cotton, sustainable fashion, renewable oils, permissioned blockchain, traceability and Kenya-European Union market access</w:t>
      </w:r>
    </w:p>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2880"/>
            <w:shd w:fill="17375E"/>
            <w:vAlign w:val="center"/>
            <w:tcMar>
              <w:top w:w="50" w:type="dxa"/>
              <w:start w:w="50" w:type="dxa"/>
              <w:bottom w:w="50" w:type="dxa"/>
              <w:end w:w="50" w:type="dxa"/>
            </w:tcMar>
          </w:tcPr>
          <w:p>
            <w:r>
              <w:rPr>
                <w:rFonts w:ascii="Aptos" w:hAnsi="Aptos"/>
                <w:b/>
                <w:color w:val="FFFFFF"/>
                <w:sz w:val="16"/>
              </w:rPr>
              <w:t>Item</w:t>
            </w:r>
          </w:p>
        </w:tc>
        <w:tc>
          <w:tcPr>
            <w:tcW w:type="dxa" w:w="7632"/>
            <w:shd w:fill="17375E"/>
            <w:vAlign w:val="center"/>
            <w:tcMar>
              <w:top w:w="50" w:type="dxa"/>
              <w:start w:w="50" w:type="dxa"/>
              <w:bottom w:w="50" w:type="dxa"/>
              <w:end w:w="50" w:type="dxa"/>
            </w:tcMar>
          </w:tcPr>
          <w:p>
            <w:r>
              <w:rPr>
                <w:rFonts w:ascii="Aptos" w:hAnsi="Aptos"/>
                <w:b/>
                <w:color w:val="FFFFFF"/>
                <w:sz w:val="16"/>
              </w:rPr>
              <w:t>Details</w:t>
            </w:r>
          </w:p>
        </w:tc>
      </w:tr>
      <w:tr>
        <w:tc>
          <w:tcPr>
            <w:tcW w:type="dxa" w:w="2880"/>
            <w:tcMar>
              <w:top w:w="50" w:type="dxa"/>
              <w:start w:w="50" w:type="dxa"/>
              <w:bottom w:w="50" w:type="dxa"/>
              <w:end w:w="50" w:type="dxa"/>
            </w:tcMar>
            <w:vAlign w:val="center"/>
          </w:tcPr>
          <w:p>
            <w:r>
              <w:rPr>
                <w:rFonts w:ascii="Aptos" w:hAnsi="Aptos"/>
                <w:sz w:val="16"/>
              </w:rPr>
              <w:t>Lead Applicant</w:t>
            </w:r>
          </w:p>
        </w:tc>
        <w:tc>
          <w:tcPr>
            <w:tcW w:type="dxa" w:w="7632"/>
            <w:tcMar>
              <w:top w:w="50" w:type="dxa"/>
              <w:start w:w="50" w:type="dxa"/>
              <w:bottom w:w="50" w:type="dxa"/>
              <w:end w:w="50" w:type="dxa"/>
            </w:tcMar>
            <w:vAlign w:val="center"/>
          </w:tcPr>
          <w:p>
            <w:r>
              <w:rPr>
                <w:rFonts w:ascii="Aptos" w:hAnsi="Aptos"/>
                <w:sz w:val="16"/>
              </w:rPr>
              <w:t>Labl Group East Africa LTD — registered 20 December 2019; Company No. PVT-PJU92LB; KRA PIN P051868537Y</w:t>
            </w:r>
          </w:p>
        </w:tc>
      </w:tr>
      <w:tr>
        <w:tc>
          <w:tcPr>
            <w:tcW w:type="dxa" w:w="2880"/>
            <w:tcMar>
              <w:top w:w="50" w:type="dxa"/>
              <w:start w:w="50" w:type="dxa"/>
              <w:bottom w:w="50" w:type="dxa"/>
              <w:end w:w="50" w:type="dxa"/>
            </w:tcMar>
            <w:vAlign w:val="center"/>
            <w:shd w:fill="F7F9FB"/>
          </w:tcPr>
          <w:p>
            <w:r>
              <w:rPr>
                <w:rFonts w:ascii="Aptos" w:hAnsi="Aptos"/>
                <w:sz w:val="16"/>
              </w:rPr>
              <w:t>Consortium Partners</w:t>
            </w:r>
          </w:p>
        </w:tc>
        <w:tc>
          <w:tcPr>
            <w:tcW w:type="dxa" w:w="7632"/>
            <w:tcMar>
              <w:top w:w="50" w:type="dxa"/>
              <w:start w:w="50" w:type="dxa"/>
              <w:bottom w:w="50" w:type="dxa"/>
              <w:end w:w="50" w:type="dxa"/>
            </w:tcMar>
            <w:vAlign w:val="center"/>
            <w:shd w:fill="F7F9FB"/>
          </w:tcPr>
          <w:p>
            <w:r>
              <w:rPr>
                <w:rFonts w:ascii="Aptos" w:hAnsi="Aptos"/>
                <w:sz w:val="16"/>
              </w:rPr>
              <w:t>Labl Fashion LTD; Labl Farms LTD; Crostar Energy LTD; Goblis Foundation; Afribiz Consultancy Limited</w:t>
            </w:r>
          </w:p>
        </w:tc>
      </w:tr>
      <w:tr>
        <w:tc>
          <w:tcPr>
            <w:tcW w:type="dxa" w:w="2880"/>
            <w:tcMar>
              <w:top w:w="50" w:type="dxa"/>
              <w:start w:w="50" w:type="dxa"/>
              <w:bottom w:w="50" w:type="dxa"/>
              <w:end w:w="50" w:type="dxa"/>
            </w:tcMar>
            <w:vAlign w:val="center"/>
          </w:tcPr>
          <w:p>
            <w:r>
              <w:rPr>
                <w:rFonts w:ascii="Aptos" w:hAnsi="Aptos"/>
                <w:sz w:val="16"/>
              </w:rPr>
              <w:t>Technical Service Providers</w:t>
            </w:r>
          </w:p>
        </w:tc>
        <w:tc>
          <w:tcPr>
            <w:tcW w:type="dxa" w:w="7632"/>
            <w:tcMar>
              <w:top w:w="50" w:type="dxa"/>
              <w:start w:w="50" w:type="dxa"/>
              <w:bottom w:w="50" w:type="dxa"/>
              <w:end w:w="50" w:type="dxa"/>
            </w:tcMar>
            <w:vAlign w:val="center"/>
          </w:tcPr>
          <w:p>
            <w:r>
              <w:rPr>
                <w:rFonts w:ascii="Aptos" w:hAnsi="Aptos"/>
                <w:sz w:val="16"/>
              </w:rPr>
              <w:t>Afrisol Technologies Limited — system, integration, AI, GIS, cybersecurity and permissioned-blockchain development</w:t>
            </w:r>
          </w:p>
        </w:tc>
      </w:tr>
      <w:tr>
        <w:tc>
          <w:tcPr>
            <w:tcW w:type="dxa" w:w="2880"/>
            <w:tcMar>
              <w:top w:w="50" w:type="dxa"/>
              <w:start w:w="50" w:type="dxa"/>
              <w:bottom w:w="50" w:type="dxa"/>
              <w:end w:w="50" w:type="dxa"/>
            </w:tcMar>
            <w:vAlign w:val="center"/>
            <w:shd w:fill="F7F9FB"/>
          </w:tcPr>
          <w:p>
            <w:r>
              <w:rPr>
                <w:rFonts w:ascii="Aptos" w:hAnsi="Aptos"/>
                <w:sz w:val="16"/>
              </w:rPr>
              <w:t>Public-Sector Partners</w:t>
            </w:r>
          </w:p>
        </w:tc>
        <w:tc>
          <w:tcPr>
            <w:tcW w:type="dxa" w:w="7632"/>
            <w:tcMar>
              <w:top w:w="50" w:type="dxa"/>
              <w:start w:w="50" w:type="dxa"/>
              <w:bottom w:w="50" w:type="dxa"/>
              <w:end w:w="50" w:type="dxa"/>
            </w:tcMar>
            <w:vAlign w:val="center"/>
            <w:shd w:fill="F7F9FB"/>
          </w:tcPr>
          <w:p>
            <w:r>
              <w:rPr>
                <w:rFonts w:ascii="Aptos" w:hAnsi="Aptos"/>
                <w:sz w:val="16"/>
              </w:rPr>
              <w:t>County Governments of Taita Taveta and Kilifi; ministries responsible for Agriculture, Trade and Industrialisation, and Energy; NEMA; KMD; and other competent statutory and technical institutions</w:t>
            </w:r>
          </w:p>
        </w:tc>
      </w:tr>
      <w:tr>
        <w:tc>
          <w:tcPr>
            <w:tcW w:type="dxa" w:w="2880"/>
            <w:tcMar>
              <w:top w:w="50" w:type="dxa"/>
              <w:start w:w="50" w:type="dxa"/>
              <w:bottom w:w="50" w:type="dxa"/>
              <w:end w:w="50" w:type="dxa"/>
            </w:tcMar>
            <w:vAlign w:val="center"/>
          </w:tcPr>
          <w:p>
            <w:r>
              <w:rPr>
                <w:rFonts w:ascii="Aptos" w:hAnsi="Aptos"/>
                <w:sz w:val="16"/>
              </w:rPr>
              <w:t>Duration</w:t>
            </w:r>
          </w:p>
        </w:tc>
        <w:tc>
          <w:tcPr>
            <w:tcW w:type="dxa" w:w="7632"/>
            <w:tcMar>
              <w:top w:w="50" w:type="dxa"/>
              <w:start w:w="50" w:type="dxa"/>
              <w:bottom w:w="50" w:type="dxa"/>
              <w:end w:w="50" w:type="dxa"/>
            </w:tcMar>
            <w:vAlign w:val="center"/>
          </w:tcPr>
          <w:p>
            <w:r>
              <w:rPr>
                <w:rFonts w:ascii="Aptos" w:hAnsi="Aptos"/>
                <w:sz w:val="16"/>
              </w:rPr>
              <w:t>36 months (proposed January 2027–December 2029), with post-project transition and 2030 scale pathway</w:t>
            </w:r>
          </w:p>
        </w:tc>
      </w:tr>
      <w:tr>
        <w:tc>
          <w:tcPr>
            <w:tcW w:type="dxa" w:w="2880"/>
            <w:tcMar>
              <w:top w:w="50" w:type="dxa"/>
              <w:start w:w="50" w:type="dxa"/>
              <w:bottom w:w="50" w:type="dxa"/>
              <w:end w:w="50" w:type="dxa"/>
            </w:tcMar>
            <w:vAlign w:val="center"/>
            <w:shd w:fill="F7F9FB"/>
          </w:tcPr>
          <w:p>
            <w:r>
              <w:rPr>
                <w:rFonts w:ascii="Aptos" w:hAnsi="Aptos"/>
                <w:sz w:val="16"/>
              </w:rPr>
              <w:t>Funding Requested</w:t>
            </w:r>
          </w:p>
        </w:tc>
        <w:tc>
          <w:tcPr>
            <w:tcW w:type="dxa" w:w="7632"/>
            <w:tcMar>
              <w:top w:w="50" w:type="dxa"/>
              <w:start w:w="50" w:type="dxa"/>
              <w:bottom w:w="50" w:type="dxa"/>
              <w:end w:w="50" w:type="dxa"/>
            </w:tcMar>
            <w:vAlign w:val="center"/>
            <w:shd w:fill="F7F9FB"/>
          </w:tcPr>
          <w:p>
            <w:r>
              <w:rPr>
                <w:rFonts w:ascii="Aptos" w:hAnsi="Aptos"/>
                <w:sz w:val="16"/>
              </w:rPr>
              <w:t>KES 138,000,000</w:t>
            </w:r>
          </w:p>
        </w:tc>
      </w:tr>
      <w:tr>
        <w:tc>
          <w:tcPr>
            <w:tcW w:type="dxa" w:w="2880"/>
            <w:tcMar>
              <w:top w:w="50" w:type="dxa"/>
              <w:start w:w="50" w:type="dxa"/>
              <w:bottom w:w="50" w:type="dxa"/>
              <w:end w:w="50" w:type="dxa"/>
            </w:tcMar>
            <w:vAlign w:val="center"/>
          </w:tcPr>
          <w:p>
            <w:r>
              <w:rPr>
                <w:rFonts w:ascii="Aptos" w:hAnsi="Aptos"/>
                <w:sz w:val="16"/>
              </w:rPr>
              <w:t>Geographic Focus</w:t>
            </w:r>
          </w:p>
        </w:tc>
        <w:tc>
          <w:tcPr>
            <w:tcW w:type="dxa" w:w="7632"/>
            <w:tcMar>
              <w:top w:w="50" w:type="dxa"/>
              <w:start w:w="50" w:type="dxa"/>
              <w:bottom w:w="50" w:type="dxa"/>
              <w:end w:w="50" w:type="dxa"/>
            </w:tcMar>
            <w:vAlign w:val="center"/>
          </w:tcPr>
          <w:p>
            <w:r>
              <w:rPr>
                <w:rFonts w:ascii="Aptos" w:hAnsi="Aptos"/>
                <w:sz w:val="16"/>
              </w:rPr>
              <w:t>Taita Taveta and Kilifi Counties; Kenya, East Africa, Dutch and wider European Union markets; gated replication pathway</w:t>
            </w:r>
          </w:p>
        </w:tc>
      </w:tr>
      <w:tr>
        <w:tc>
          <w:tcPr>
            <w:tcW w:type="dxa" w:w="5040"/>
            <w:shd w:fill="F7F9FB"/>
            <w:tcMar>
              <w:top w:w="50" w:type="dxa"/>
              <w:start w:w="50" w:type="dxa"/>
              <w:bottom w:w="50" w:type="dxa"/>
              <w:end w:w="50" w:type="dxa"/>
            </w:tcMar>
            <w:vAlign w:val="center"/>
          </w:tcPr>
          <w:p>
            <w:r>
              <w:rPr>
                <w:rFonts w:ascii="Aptos" w:hAnsi="Aptos"/>
                <w:sz w:val="16"/>
              </w:rPr>
              <w:t>Official Platform</w:t>
            </w:r>
          </w:p>
        </w:tc>
        <w:tc>
          <w:tcPr>
            <w:tcW w:type="dxa" w:w="5040"/>
            <w:shd w:fill="F7F9FB"/>
            <w:tcMar>
              <w:top w:w="50" w:type="dxa"/>
              <w:start w:w="50" w:type="dxa"/>
              <w:bottom w:w="50" w:type="dxa"/>
              <w:end w:w="50" w:type="dxa"/>
            </w:tcMar>
            <w:vAlign w:val="center"/>
          </w:tcPr>
          <w:p>
            <w:r>
              <w:rPr>
                <w:rFonts w:ascii="Aptos" w:hAnsi="Aptos"/>
                <w:sz w:val="16"/>
              </w:rPr>
              <w:t>www.afrieurolinks.com | info@afrieurolinks.com</w:t>
            </w:r>
          </w:p>
        </w:tc>
      </w:tr>
      <w:tr>
        <w:tc>
          <w:tcPr>
            <w:tcW w:type="dxa" w:w="5040"/>
            <w:tcMar>
              <w:top w:w="50" w:type="dxa"/>
              <w:start w:w="50" w:type="dxa"/>
              <w:bottom w:w="50" w:type="dxa"/>
              <w:end w:w="50" w:type="dxa"/>
            </w:tcMar>
            <w:vAlign w:val="center"/>
          </w:tcPr>
          <w:p>
            <w:r>
              <w:rPr>
                <w:rFonts w:ascii="Aptos" w:hAnsi="Aptos"/>
                <w:sz w:val="16"/>
              </w:rPr>
              <w:t>Lead Contact</w:t>
            </w:r>
          </w:p>
        </w:tc>
        <w:tc>
          <w:tcPr>
            <w:tcW w:type="dxa" w:w="5040"/>
            <w:tcMar>
              <w:top w:w="50" w:type="dxa"/>
              <w:start w:w="50" w:type="dxa"/>
              <w:bottom w:w="50" w:type="dxa"/>
              <w:end w:w="50" w:type="dxa"/>
            </w:tcMar>
            <w:vAlign w:val="center"/>
          </w:tcPr>
          <w:p>
            <w:r>
              <w:rPr>
                <w:rFonts w:ascii="Aptos" w:hAnsi="Aptos"/>
                <w:sz w:val="16"/>
              </w:rPr>
              <w:t>Isaac Waithaka Ndegwa | isaac@lablgroup.com | +254 724 590 011</w:t>
            </w:r>
          </w:p>
        </w:tc>
      </w:tr>
      <w:tr>
        <w:tc>
          <w:tcPr>
            <w:tcW w:type="dxa" w:w="5040"/>
            <w:shd w:fill="F7F9FB"/>
            <w:tcMar>
              <w:top w:w="50" w:type="dxa"/>
              <w:start w:w="50" w:type="dxa"/>
              <w:bottom w:w="50" w:type="dxa"/>
              <w:end w:w="50" w:type="dxa"/>
            </w:tcMar>
            <w:vAlign w:val="center"/>
          </w:tcPr>
          <w:p>
            <w:r>
              <w:rPr>
                <w:rFonts w:ascii="Aptos" w:hAnsi="Aptos"/>
                <w:sz w:val="16"/>
              </w:rPr>
              <w:t>European Contact</w:t>
            </w:r>
          </w:p>
        </w:tc>
        <w:tc>
          <w:tcPr>
            <w:tcW w:type="dxa" w:w="5040"/>
            <w:shd w:fill="F7F9FB"/>
            <w:tcMar>
              <w:top w:w="50" w:type="dxa"/>
              <w:start w:w="50" w:type="dxa"/>
              <w:bottom w:w="50" w:type="dxa"/>
              <w:end w:w="50" w:type="dxa"/>
            </w:tcMar>
            <w:vAlign w:val="center"/>
          </w:tcPr>
          <w:p>
            <w:r>
              <w:rPr>
                <w:rFonts w:ascii="Aptos" w:hAnsi="Aptos"/>
                <w:sz w:val="16"/>
              </w:rPr>
              <w:t>Mart Walter Veeken, Labl Fashion B.V. | mart@labl-fashion.com | +31 6 34279146</w:t>
            </w:r>
          </w:p>
        </w:tc>
      </w:tr>
    </w:tbl>
    <w:p>
      <w:pPr>
        <w:spacing w:after="0"/>
      </w:pPr>
    </w:p>
    <w:p>
      <w:pPr>
        <w:pStyle w:val="Heading1"/>
        <w:keepNext/>
        <w:pageBreakBefore/>
      </w:pPr>
      <w:r>
        <w:t>Table of Contents</w:t>
      </w:r>
    </w:p>
    <w:p>
      <w:pPr>
        <w:spacing w:after="40"/>
        <w:tabs>
          <w:tab w:val="right" w:leader="dot" w:pos="9360"/>
        </w:tabs>
      </w:pPr>
      <w:r>
        <w:t>Acronyms and Abbreviations</w:t>
      </w:r>
    </w:p>
    <w:p>
      <w:pPr>
        <w:spacing w:after="40"/>
        <w:tabs>
          <w:tab w:val="right" w:leader="dot" w:pos="9360"/>
        </w:tabs>
      </w:pPr>
      <w:r>
        <w:t>1. Executive Summary</w:t>
      </w:r>
    </w:p>
    <w:p>
      <w:pPr>
        <w:spacing w:after="40"/>
        <w:tabs>
          <w:tab w:val="right" w:leader="dot" w:pos="9360"/>
        </w:tabs>
      </w:pPr>
      <w:r>
        <w:t>2. Applicant and Consortium Profile</w:t>
      </w:r>
    </w:p>
    <w:p>
      <w:pPr>
        <w:spacing w:after="40"/>
        <w:tabs>
          <w:tab w:val="right" w:leader="dot" w:pos="9360"/>
        </w:tabs>
      </w:pPr>
      <w:r>
        <w:t>3. Background, Context and Problem Analysis</w:t>
      </w:r>
    </w:p>
    <w:p>
      <w:pPr>
        <w:spacing w:after="40"/>
        <w:tabs>
          <w:tab w:val="right" w:leader="dot" w:pos="9360"/>
        </w:tabs>
      </w:pPr>
      <w:r>
        <w:t>4. Goal, Objectives and Expected Outcomes</w:t>
      </w:r>
    </w:p>
    <w:p>
      <w:pPr>
        <w:spacing w:after="40"/>
        <w:tabs>
          <w:tab w:val="right" w:leader="dot" w:pos="9360"/>
        </w:tabs>
      </w:pPr>
      <w:r>
        <w:t>5. Theory of Change and Intervention Strategy</w:t>
      </w:r>
    </w:p>
    <w:p>
      <w:pPr>
        <w:spacing w:after="40"/>
        <w:tabs>
          <w:tab w:val="right" w:leader="dot" w:pos="9360"/>
        </w:tabs>
      </w:pPr>
      <w:r>
        <w:t>6. Programme Components and Activities</w:t>
      </w:r>
    </w:p>
    <w:p>
      <w:pPr>
        <w:spacing w:after="40"/>
        <w:tabs>
          <w:tab w:val="right" w:leader="dot" w:pos="9360"/>
        </w:tabs>
      </w:pPr>
      <w:r>
        <w:t>7. Digital System Functional and Governance Requirements</w:t>
      </w:r>
    </w:p>
    <w:p>
      <w:pPr>
        <w:spacing w:after="40"/>
        <w:tabs>
          <w:tab w:val="right" w:leader="dot" w:pos="9360"/>
        </w:tabs>
      </w:pPr>
      <w:r>
        <w:t>8. Implementation Arrangements and Work Plan</w:t>
      </w:r>
    </w:p>
    <w:p>
      <w:pPr>
        <w:spacing w:after="40"/>
        <w:tabs>
          <w:tab w:val="right" w:leader="dot" w:pos="9360"/>
        </w:tabs>
      </w:pPr>
      <w:r>
        <w:t>9. Governance, Management and Staffing</w:t>
      </w:r>
    </w:p>
    <w:p>
      <w:pPr>
        <w:spacing w:after="40"/>
        <w:tabs>
          <w:tab w:val="right" w:leader="dot" w:pos="9360"/>
        </w:tabs>
      </w:pPr>
      <w:r>
        <w:t>10. Target Groups, Inclusion and Safeguarding</w:t>
      </w:r>
    </w:p>
    <w:p>
      <w:pPr>
        <w:spacing w:after="40"/>
        <w:tabs>
          <w:tab w:val="right" w:leader="dot" w:pos="9360"/>
        </w:tabs>
      </w:pPr>
      <w:r>
        <w:t>11. Results Framework, Monitoring, Evaluation and Learning</w:t>
      </w:r>
    </w:p>
    <w:p>
      <w:pPr>
        <w:spacing w:after="40"/>
        <w:tabs>
          <w:tab w:val="right" w:leader="dot" w:pos="9360"/>
        </w:tabs>
      </w:pPr>
      <w:r>
        <w:t>12. Regulatory, Environmental and Social Compliance</w:t>
      </w:r>
    </w:p>
    <w:p>
      <w:pPr>
        <w:spacing w:after="40"/>
        <w:tabs>
          <w:tab w:val="right" w:leader="dot" w:pos="9360"/>
        </w:tabs>
      </w:pPr>
      <w:r>
        <w:t>13. Market Development and Commercialisation Plan</w:t>
      </w:r>
    </w:p>
    <w:p>
      <w:pPr>
        <w:spacing w:after="40"/>
        <w:tabs>
          <w:tab w:val="right" w:leader="dot" w:pos="9360"/>
        </w:tabs>
      </w:pPr>
      <w:r>
        <w:t>14. Sustainability, Exit and Scale Strategy</w:t>
      </w:r>
    </w:p>
    <w:p>
      <w:pPr>
        <w:spacing w:after="40"/>
        <w:tabs>
          <w:tab w:val="right" w:leader="dot" w:pos="9360"/>
        </w:tabs>
      </w:pPr>
      <w:r>
        <w:t>15. Risk Management</w:t>
      </w:r>
    </w:p>
    <w:p>
      <w:pPr>
        <w:spacing w:after="40"/>
        <w:tabs>
          <w:tab w:val="right" w:leader="dot" w:pos="9360"/>
        </w:tabs>
      </w:pPr>
      <w:r>
        <w:t>16. Communications, Knowledge Management and Visibility</w:t>
      </w:r>
    </w:p>
    <w:p>
      <w:pPr>
        <w:spacing w:after="40"/>
        <w:tabs>
          <w:tab w:val="right" w:leader="dot" w:pos="9360"/>
        </w:tabs>
      </w:pPr>
      <w:r>
        <w:t>17. Financial Management, Procurement and Community Grants</w:t>
      </w:r>
    </w:p>
    <w:p>
      <w:pPr>
        <w:spacing w:after="40"/>
        <w:tabs>
          <w:tab w:val="right" w:leader="dot" w:pos="9360"/>
        </w:tabs>
      </w:pPr>
      <w:r>
        <w:t>18. Budget and Value for Money</w:t>
      </w:r>
    </w:p>
    <w:p>
      <w:pPr>
        <w:spacing w:after="40"/>
        <w:tabs>
          <w:tab w:val="right" w:leader="dot" w:pos="9360"/>
        </w:tabs>
      </w:pPr>
      <w:r>
        <w:t>19. Assumptions and Conditions Precedent</w:t>
      </w:r>
    </w:p>
    <w:p>
      <w:pPr>
        <w:spacing w:after="40"/>
        <w:tabs>
          <w:tab w:val="right" w:leader="dot" w:pos="9360"/>
        </w:tabs>
      </w:pPr>
      <w:r>
        <w:t>20. Conclusion</w:t>
      </w:r>
    </w:p>
    <w:p>
      <w:pPr>
        <w:spacing w:after="40"/>
        <w:tabs>
          <w:tab w:val="right" w:leader="dot" w:pos="9360"/>
        </w:tabs>
      </w:pPr>
      <w:r>
        <w:t>Annexes</w:t>
      </w:r>
    </w:p>
    <w:p>
      <w:pPr>
        <w:spacing w:after="40"/>
        <w:tabs>
          <w:tab w:val="right" w:leader="dot" w:pos="9360"/>
        </w:tabs>
      </w:pPr>
      <w:pPr/>
      <w:r>
        <w:t>Annex 6. Comprehensive Itemised Budget</w:t>
      </w:r>
    </w:p>
    <w:p>
      <w:pPr>
        <w:spacing w:after="40"/>
        <w:tabs>
          <w:tab w:val="right" w:leader="dot" w:pos="9360"/>
        </w:tabs>
      </w:pPr>
      <w:r>
        <w:t>Annex 7. Information and Evidence Notes</w:t>
      </w:r>
    </w:p>
    <w:p>
      <w:pPr>
        <w:spacing w:after="40"/>
        <w:tabs>
          <w:tab w:val="right" w:leader="dot" w:pos="9360"/>
        </w:tabs>
      </w:pPr>
      <w:r>
        <w:t>Annex 8. Due Diligence and Conditions Precedent Checklist</w:t>
      </w:r>
    </w:p>
    <w:p>
      <w:pPr>
        <w:spacing w:after="40"/>
        <w:tabs>
          <w:tab w:val="right" w:leader="dot" w:pos="9360"/>
        </w:tabs>
      </w:pPr>
      <w:r>
        <w:t>Annex 9. Concept Note-to-Full Proposal Alignment Matrix</w:t>
      </w:r>
    </w:p>
    <w:p>
      <w:pPr>
        <w:pStyle w:val="Heading1"/>
        <w:keepNext/>
        <w:pageBreakBefore/>
      </w:pPr>
      <w:r>
        <w:t>Acronyms and Abbreviations</w:t>
      </w:r>
    </w:p>
    <w:tbl>
      <w:tblPr>
        <w:tblStyle w:val="TableGrid"/>
        <w:tblW w:type="auto" w:w="0"/>
        <w:jc w:val="center"/>
        <w:tblLook w:firstColumn="1" w:firstRow="1" w:lastColumn="0" w:lastRow="0" w:noHBand="0" w:noVBand="1" w:val="04A0"/>
      </w:tblPr>
      <w:tblGrid>
        <w:gridCol w:w="5040"/>
        <w:gridCol w:w="5040"/>
      </w:tblGrid>
      <w:tr>
        <w:trPr>
          <w:tblHeader w:val="true"/>
          <w:tblHeader w:val="true"/>
        </w:trPr>
        <w:tc>
          <w:tcPr>
            <w:tcW w:type="dxa" w:w="2160"/>
            <w:shd w:fill="17375E"/>
            <w:vAlign w:val="center"/>
            <w:tcMar>
              <w:top w:w="55" w:type="dxa"/>
              <w:start w:w="65" w:type="dxa"/>
              <w:bottom w:w="55" w:type="dxa"/>
              <w:end w:w="65" w:type="dxa"/>
            </w:tcMar>
          </w:tcPr>
          <w:p>
            <w:r>
              <w:rPr>
                <w:rFonts w:ascii="Aptos" w:hAnsi="Aptos"/>
                <w:b/>
                <w:color w:val="FFFFFF"/>
                <w:sz w:val="16"/>
              </w:rPr>
              <w:t>Acronym</w:t>
            </w:r>
          </w:p>
        </w:tc>
        <w:tc>
          <w:tcPr>
            <w:tcW w:type="dxa" w:w="8352"/>
            <w:shd w:fill="17375E"/>
            <w:vAlign w:val="center"/>
            <w:tcMar>
              <w:top w:w="55" w:type="dxa"/>
              <w:start w:w="65" w:type="dxa"/>
              <w:bottom w:w="55" w:type="dxa"/>
              <w:end w:w="65" w:type="dxa"/>
            </w:tcMar>
          </w:tcPr>
          <w:p>
            <w:r>
              <w:rPr>
                <w:rFonts w:ascii="Aptos" w:hAnsi="Aptos"/>
                <w:b/>
                <w:color w:val="FFFFFF"/>
                <w:sz w:val="16"/>
              </w:rPr>
              <w:t>Meaning</w:t>
            </w:r>
          </w:p>
        </w:tc>
      </w:tr>
      <w:tr>
        <w:trPr>
          <w:cantSplit/>
        </w:trPr>
        <w:tc>
          <w:tcPr>
            <w:tcW w:type="dxa" w:w="2160"/>
            <w:tcMar>
              <w:top w:w="55" w:type="dxa"/>
              <w:start w:w="65" w:type="dxa"/>
              <w:bottom w:w="55" w:type="dxa"/>
              <w:end w:w="65" w:type="dxa"/>
            </w:tcMar>
            <w:vAlign w:val="top"/>
          </w:tcPr>
          <w:p>
            <w:r>
              <w:rPr>
                <w:rFonts w:ascii="Aptos" w:hAnsi="Aptos"/>
                <w:sz w:val="16"/>
              </w:rPr>
              <w:t>AFA</w:t>
            </w:r>
          </w:p>
        </w:tc>
        <w:tc>
          <w:tcPr>
            <w:tcW w:type="dxa" w:w="8352"/>
            <w:tcMar>
              <w:top w:w="55" w:type="dxa"/>
              <w:start w:w="65" w:type="dxa"/>
              <w:bottom w:w="55" w:type="dxa"/>
              <w:end w:w="65" w:type="dxa"/>
            </w:tcMar>
            <w:vAlign w:val="top"/>
          </w:tcPr>
          <w:p>
            <w:r>
              <w:rPr>
                <w:rFonts w:ascii="Aptos" w:hAnsi="Aptos"/>
                <w:sz w:val="16"/>
              </w:rPr>
              <w:t>Agriculture and Food Authority</w:t>
            </w:r>
          </w:p>
        </w:tc>
      </w:tr>
      <w:tr>
        <w:trPr>
          <w:cantSplit/>
        </w:trPr>
        <w:tc>
          <w:tcPr>
            <w:tcW w:type="dxa" w:w="2160"/>
            <w:tcMar>
              <w:top w:w="55" w:type="dxa"/>
              <w:start w:w="65" w:type="dxa"/>
              <w:bottom w:w="55" w:type="dxa"/>
              <w:end w:w="65" w:type="dxa"/>
            </w:tcMar>
            <w:vAlign w:val="top"/>
            <w:shd w:fill="F7F9FB"/>
          </w:tcPr>
          <w:p>
            <w:r>
              <w:rPr>
                <w:rFonts w:ascii="Aptos" w:hAnsi="Aptos"/>
                <w:sz w:val="16"/>
              </w:rPr>
              <w:t>B2B</w:t>
            </w:r>
          </w:p>
        </w:tc>
        <w:tc>
          <w:tcPr>
            <w:tcW w:type="dxa" w:w="8352"/>
            <w:tcMar>
              <w:top w:w="55" w:type="dxa"/>
              <w:start w:w="65" w:type="dxa"/>
              <w:bottom w:w="55" w:type="dxa"/>
              <w:end w:w="65" w:type="dxa"/>
            </w:tcMar>
            <w:vAlign w:val="top"/>
            <w:shd w:fill="F7F9FB"/>
          </w:tcPr>
          <w:p>
            <w:r>
              <w:rPr>
                <w:rFonts w:ascii="Aptos" w:hAnsi="Aptos"/>
                <w:sz w:val="16"/>
              </w:rPr>
              <w:t>Business-to-Business</w:t>
            </w:r>
          </w:p>
        </w:tc>
      </w:tr>
      <w:tr>
        <w:trPr>
          <w:cantSplit/>
        </w:trPr>
        <w:tc>
          <w:tcPr>
            <w:tcW w:type="dxa" w:w="2160"/>
            <w:tcMar>
              <w:top w:w="55" w:type="dxa"/>
              <w:start w:w="65" w:type="dxa"/>
              <w:bottom w:w="55" w:type="dxa"/>
              <w:end w:w="65" w:type="dxa"/>
            </w:tcMar>
            <w:vAlign w:val="top"/>
          </w:tcPr>
          <w:p>
            <w:r>
              <w:rPr>
                <w:rFonts w:ascii="Aptos" w:hAnsi="Aptos"/>
                <w:sz w:val="16"/>
              </w:rPr>
              <w:t>EIA</w:t>
            </w:r>
          </w:p>
        </w:tc>
        <w:tc>
          <w:tcPr>
            <w:tcW w:type="dxa" w:w="8352"/>
            <w:tcMar>
              <w:top w:w="55" w:type="dxa"/>
              <w:start w:w="65" w:type="dxa"/>
              <w:bottom w:w="55" w:type="dxa"/>
              <w:end w:w="65" w:type="dxa"/>
            </w:tcMar>
            <w:vAlign w:val="top"/>
          </w:tcPr>
          <w:p>
            <w:r>
              <w:rPr>
                <w:rFonts w:ascii="Aptos" w:hAnsi="Aptos"/>
                <w:sz w:val="16"/>
              </w:rPr>
              <w:t>Environmental Impact Assessment</w:t>
            </w:r>
          </w:p>
        </w:tc>
      </w:tr>
      <w:tr>
        <w:trPr>
          <w:cantSplit/>
        </w:trPr>
        <w:tc>
          <w:tcPr>
            <w:tcW w:type="dxa" w:w="2160"/>
            <w:tcMar>
              <w:top w:w="55" w:type="dxa"/>
              <w:start w:w="65" w:type="dxa"/>
              <w:bottom w:w="55" w:type="dxa"/>
              <w:end w:w="65" w:type="dxa"/>
            </w:tcMar>
            <w:vAlign w:val="top"/>
            <w:shd w:fill="F7F9FB"/>
          </w:tcPr>
          <w:p>
            <w:r>
              <w:rPr>
                <w:rFonts w:ascii="Aptos" w:hAnsi="Aptos"/>
                <w:sz w:val="16"/>
              </w:rPr>
              <w:t>EPRA</w:t>
            </w:r>
          </w:p>
        </w:tc>
        <w:tc>
          <w:tcPr>
            <w:tcW w:type="dxa" w:w="8352"/>
            <w:tcMar>
              <w:top w:w="55" w:type="dxa"/>
              <w:start w:w="65" w:type="dxa"/>
              <w:bottom w:w="55" w:type="dxa"/>
              <w:end w:w="65" w:type="dxa"/>
            </w:tcMar>
            <w:vAlign w:val="top"/>
            <w:shd w:fill="F7F9FB"/>
          </w:tcPr>
          <w:p>
            <w:r>
              <w:rPr>
                <w:rFonts w:ascii="Aptos" w:hAnsi="Aptos"/>
                <w:sz w:val="16"/>
              </w:rPr>
              <w:t>Energy and Petroleum Regulatory Authority</w:t>
            </w:r>
          </w:p>
        </w:tc>
      </w:tr>
      <w:tr>
        <w:trPr>
          <w:cantSplit/>
        </w:trPr>
        <w:tc>
          <w:tcPr>
            <w:tcW w:type="dxa" w:w="2160"/>
            <w:tcMar>
              <w:top w:w="55" w:type="dxa"/>
              <w:start w:w="65" w:type="dxa"/>
              <w:bottom w:w="55" w:type="dxa"/>
              <w:end w:w="65" w:type="dxa"/>
            </w:tcMar>
            <w:vAlign w:val="top"/>
          </w:tcPr>
          <w:p>
            <w:r>
              <w:rPr>
                <w:rFonts w:ascii="Aptos" w:hAnsi="Aptos"/>
                <w:sz w:val="16"/>
              </w:rPr>
              <w:t>ESG</w:t>
            </w:r>
          </w:p>
        </w:tc>
        <w:tc>
          <w:tcPr>
            <w:tcW w:type="dxa" w:w="8352"/>
            <w:tcMar>
              <w:top w:w="55" w:type="dxa"/>
              <w:start w:w="65" w:type="dxa"/>
              <w:bottom w:w="55" w:type="dxa"/>
              <w:end w:w="65" w:type="dxa"/>
            </w:tcMar>
            <w:vAlign w:val="top"/>
          </w:tcPr>
          <w:p>
            <w:r>
              <w:rPr>
                <w:rFonts w:ascii="Aptos" w:hAnsi="Aptos"/>
                <w:sz w:val="16"/>
              </w:rPr>
              <w:t>Environmental, Social and Governance</w:t>
            </w:r>
          </w:p>
        </w:tc>
      </w:tr>
      <w:tr>
        <w:trPr>
          <w:cantSplit/>
        </w:trPr>
        <w:tc>
          <w:tcPr>
            <w:tcW w:type="dxa" w:w="2160"/>
            <w:tcMar>
              <w:top w:w="55" w:type="dxa"/>
              <w:start w:w="65" w:type="dxa"/>
              <w:bottom w:w="55" w:type="dxa"/>
              <w:end w:w="65" w:type="dxa"/>
            </w:tcMar>
            <w:vAlign w:val="top"/>
            <w:shd w:fill="F7F9FB"/>
          </w:tcPr>
          <w:p>
            <w:r>
              <w:rPr>
                <w:rFonts w:ascii="Aptos" w:hAnsi="Aptos"/>
                <w:sz w:val="16"/>
              </w:rPr>
              <w:t>EU</w:t>
            </w:r>
          </w:p>
        </w:tc>
        <w:tc>
          <w:tcPr>
            <w:tcW w:type="dxa" w:w="8352"/>
            <w:tcMar>
              <w:top w:w="55" w:type="dxa"/>
              <w:start w:w="65" w:type="dxa"/>
              <w:bottom w:w="55" w:type="dxa"/>
              <w:end w:w="65" w:type="dxa"/>
            </w:tcMar>
            <w:vAlign w:val="top"/>
            <w:shd w:fill="F7F9FB"/>
          </w:tcPr>
          <w:p>
            <w:r>
              <w:rPr>
                <w:rFonts w:ascii="Aptos" w:hAnsi="Aptos"/>
                <w:sz w:val="16"/>
              </w:rPr>
              <w:t>European Union</w:t>
            </w:r>
          </w:p>
        </w:tc>
      </w:tr>
      <w:tr>
        <w:trPr>
          <w:cantSplit/>
        </w:trPr>
        <w:tc>
          <w:tcPr>
            <w:tcW w:type="dxa" w:w="2160"/>
            <w:tcMar>
              <w:top w:w="55" w:type="dxa"/>
              <w:start w:w="65" w:type="dxa"/>
              <w:bottom w:w="55" w:type="dxa"/>
              <w:end w:w="65" w:type="dxa"/>
            </w:tcMar>
            <w:vAlign w:val="top"/>
          </w:tcPr>
          <w:p>
            <w:r>
              <w:rPr>
                <w:rFonts w:ascii="Aptos" w:hAnsi="Aptos"/>
                <w:sz w:val="16"/>
              </w:rPr>
              <w:t>FTE</w:t>
            </w:r>
          </w:p>
        </w:tc>
        <w:tc>
          <w:tcPr>
            <w:tcW w:type="dxa" w:w="8352"/>
            <w:tcMar>
              <w:top w:w="55" w:type="dxa"/>
              <w:start w:w="65" w:type="dxa"/>
              <w:bottom w:w="55" w:type="dxa"/>
              <w:end w:w="65" w:type="dxa"/>
            </w:tcMar>
            <w:vAlign w:val="top"/>
          </w:tcPr>
          <w:p>
            <w:r>
              <w:rPr>
                <w:rFonts w:ascii="Aptos" w:hAnsi="Aptos"/>
                <w:sz w:val="16"/>
              </w:rPr>
              <w:t>Full-Time Equivalent</w:t>
            </w:r>
          </w:p>
        </w:tc>
      </w:tr>
      <w:tr>
        <w:trPr>
          <w:cantSplit/>
        </w:trPr>
        <w:tc>
          <w:tcPr>
            <w:tcW w:type="dxa" w:w="2160"/>
            <w:tcMar>
              <w:top w:w="55" w:type="dxa"/>
              <w:start w:w="65" w:type="dxa"/>
              <w:bottom w:w="55" w:type="dxa"/>
              <w:end w:w="65" w:type="dxa"/>
            </w:tcMar>
            <w:vAlign w:val="top"/>
            <w:shd w:fill="F7F9FB"/>
          </w:tcPr>
          <w:p>
            <w:r>
              <w:rPr>
                <w:rFonts w:ascii="Aptos" w:hAnsi="Aptos"/>
                <w:sz w:val="16"/>
              </w:rPr>
              <w:t>ICT</w:t>
            </w:r>
          </w:p>
        </w:tc>
        <w:tc>
          <w:tcPr>
            <w:tcW w:type="dxa" w:w="8352"/>
            <w:tcMar>
              <w:top w:w="55" w:type="dxa"/>
              <w:start w:w="65" w:type="dxa"/>
              <w:bottom w:w="55" w:type="dxa"/>
              <w:end w:w="65" w:type="dxa"/>
            </w:tcMar>
            <w:vAlign w:val="top"/>
            <w:shd w:fill="F7F9FB"/>
          </w:tcPr>
          <w:p>
            <w:r>
              <w:rPr>
                <w:rFonts w:ascii="Aptos" w:hAnsi="Aptos"/>
                <w:sz w:val="16"/>
              </w:rPr>
              <w:t>Information and Communication Technology</w:t>
            </w:r>
          </w:p>
        </w:tc>
      </w:tr>
      <w:tr>
        <w:trPr>
          <w:cantSplit/>
        </w:trPr>
        <w:tc>
          <w:tcPr>
            <w:tcW w:type="dxa" w:w="2160"/>
            <w:tcMar>
              <w:top w:w="55" w:type="dxa"/>
              <w:start w:w="65" w:type="dxa"/>
              <w:bottom w:w="55" w:type="dxa"/>
              <w:end w:w="65" w:type="dxa"/>
            </w:tcMar>
            <w:vAlign w:val="top"/>
          </w:tcPr>
          <w:p>
            <w:r>
              <w:rPr>
                <w:rFonts w:ascii="Aptos" w:hAnsi="Aptos"/>
                <w:sz w:val="16"/>
              </w:rPr>
              <w:t>ICS</w:t>
            </w:r>
          </w:p>
        </w:tc>
        <w:tc>
          <w:tcPr>
            <w:tcW w:type="dxa" w:w="8352"/>
            <w:tcMar>
              <w:top w:w="55" w:type="dxa"/>
              <w:start w:w="65" w:type="dxa"/>
              <w:bottom w:w="55" w:type="dxa"/>
              <w:end w:w="65" w:type="dxa"/>
            </w:tcMar>
            <w:vAlign w:val="top"/>
          </w:tcPr>
          <w:p>
            <w:r>
              <w:rPr>
                <w:rFonts w:ascii="Aptos" w:hAnsi="Aptos"/>
                <w:sz w:val="16"/>
              </w:rPr>
              <w:t>Internal Control System</w:t>
            </w:r>
          </w:p>
        </w:tc>
      </w:tr>
      <w:tr>
        <w:trPr>
          <w:cantSplit/>
        </w:trPr>
        <w:tc>
          <w:tcPr>
            <w:tcW w:type="dxa" w:w="2160"/>
            <w:tcMar>
              <w:top w:w="55" w:type="dxa"/>
              <w:start w:w="65" w:type="dxa"/>
              <w:bottom w:w="55" w:type="dxa"/>
              <w:end w:w="65" w:type="dxa"/>
            </w:tcMar>
            <w:vAlign w:val="top"/>
            <w:shd w:fill="F7F9FB"/>
          </w:tcPr>
          <w:p>
            <w:r>
              <w:rPr>
                <w:rFonts w:ascii="Aptos" w:hAnsi="Aptos"/>
                <w:sz w:val="16"/>
              </w:rPr>
              <w:t>KEBS</w:t>
            </w:r>
          </w:p>
        </w:tc>
        <w:tc>
          <w:tcPr>
            <w:tcW w:type="dxa" w:w="8352"/>
            <w:tcMar>
              <w:top w:w="55" w:type="dxa"/>
              <w:start w:w="65" w:type="dxa"/>
              <w:bottom w:w="55" w:type="dxa"/>
              <w:end w:w="65" w:type="dxa"/>
            </w:tcMar>
            <w:vAlign w:val="top"/>
            <w:shd w:fill="F7F9FB"/>
          </w:tcPr>
          <w:p>
            <w:r>
              <w:rPr>
                <w:rFonts w:ascii="Aptos" w:hAnsi="Aptos"/>
                <w:sz w:val="16"/>
              </w:rPr>
              <w:t>Kenya Bureau of Standards</w:t>
            </w:r>
          </w:p>
        </w:tc>
      </w:tr>
      <w:tr>
        <w:trPr>
          <w:cantSplit/>
        </w:trPr>
        <w:tc>
          <w:tcPr>
            <w:tcW w:type="dxa" w:w="2160"/>
            <w:tcMar>
              <w:top w:w="55" w:type="dxa"/>
              <w:start w:w="65" w:type="dxa"/>
              <w:bottom w:w="55" w:type="dxa"/>
              <w:end w:w="65" w:type="dxa"/>
            </w:tcMar>
            <w:vAlign w:val="top"/>
          </w:tcPr>
          <w:p>
            <w:r>
              <w:rPr>
                <w:rFonts w:ascii="Aptos" w:hAnsi="Aptos"/>
                <w:sz w:val="16"/>
              </w:rPr>
              <w:t>KEPHIS</w:t>
            </w:r>
          </w:p>
        </w:tc>
        <w:tc>
          <w:tcPr>
            <w:tcW w:type="dxa" w:w="8352"/>
            <w:tcMar>
              <w:top w:w="55" w:type="dxa"/>
              <w:start w:w="65" w:type="dxa"/>
              <w:bottom w:w="55" w:type="dxa"/>
              <w:end w:w="65" w:type="dxa"/>
            </w:tcMar>
            <w:vAlign w:val="top"/>
          </w:tcPr>
          <w:p>
            <w:r>
              <w:rPr>
                <w:rFonts w:ascii="Aptos" w:hAnsi="Aptos"/>
                <w:sz w:val="16"/>
              </w:rPr>
              <w:t>Kenya Plant Health Inspectorate Service</w:t>
            </w:r>
          </w:p>
        </w:tc>
      </w:tr>
      <w:tr>
        <w:trPr>
          <w:cantSplit/>
        </w:trPr>
        <w:tc>
          <w:tcPr>
            <w:tcW w:type="dxa" w:w="2160"/>
            <w:tcMar>
              <w:top w:w="55" w:type="dxa"/>
              <w:start w:w="65" w:type="dxa"/>
              <w:bottom w:w="55" w:type="dxa"/>
              <w:end w:w="65" w:type="dxa"/>
            </w:tcMar>
            <w:vAlign w:val="top"/>
            <w:shd w:fill="F7F9FB"/>
          </w:tcPr>
          <w:p>
            <w:r>
              <w:rPr>
                <w:rFonts w:ascii="Aptos" w:hAnsi="Aptos"/>
                <w:sz w:val="16"/>
              </w:rPr>
              <w:t>KALRO</w:t>
            </w:r>
          </w:p>
        </w:tc>
        <w:tc>
          <w:tcPr>
            <w:tcW w:type="dxa" w:w="8352"/>
            <w:tcMar>
              <w:top w:w="55" w:type="dxa"/>
              <w:start w:w="65" w:type="dxa"/>
              <w:bottom w:w="55" w:type="dxa"/>
              <w:end w:w="65" w:type="dxa"/>
            </w:tcMar>
            <w:vAlign w:val="top"/>
            <w:shd w:fill="F7F9FB"/>
          </w:tcPr>
          <w:p>
            <w:r>
              <w:rPr>
                <w:rFonts w:ascii="Aptos" w:hAnsi="Aptos"/>
                <w:sz w:val="16"/>
              </w:rPr>
              <w:t>Kenya Agricultural and Livestock Research Organization</w:t>
            </w:r>
          </w:p>
        </w:tc>
      </w:tr>
      <w:tr>
        <w:trPr>
          <w:cantSplit/>
        </w:trPr>
        <w:tc>
          <w:tcPr>
            <w:tcW w:type="dxa" w:w="2160"/>
            <w:tcMar>
              <w:top w:w="55" w:type="dxa"/>
              <w:start w:w="65" w:type="dxa"/>
              <w:bottom w:w="55" w:type="dxa"/>
              <w:end w:w="65" w:type="dxa"/>
            </w:tcMar>
            <w:vAlign w:val="top"/>
          </w:tcPr>
          <w:p>
            <w:r>
              <w:rPr>
                <w:rFonts w:ascii="Aptos" w:hAnsi="Aptos"/>
                <w:sz w:val="16"/>
              </w:rPr>
              <w:t>LGEA</w:t>
            </w:r>
          </w:p>
        </w:tc>
        <w:tc>
          <w:tcPr>
            <w:tcW w:type="dxa" w:w="8352"/>
            <w:tcMar>
              <w:top w:w="55" w:type="dxa"/>
              <w:start w:w="65" w:type="dxa"/>
              <w:bottom w:w="55" w:type="dxa"/>
              <w:end w:w="65" w:type="dxa"/>
            </w:tcMar>
            <w:vAlign w:val="top"/>
          </w:tcPr>
          <w:p>
            <w:r>
              <w:rPr>
                <w:rFonts w:ascii="Aptos" w:hAnsi="Aptos"/>
                <w:sz w:val="16"/>
              </w:rPr>
              <w:t>Labl Group East Africa Ltd</w:t>
            </w:r>
          </w:p>
        </w:tc>
      </w:tr>
      <w:tr>
        <w:trPr>
          <w:cantSplit/>
        </w:trPr>
        <w:tc>
          <w:tcPr>
            <w:tcW w:type="dxa" w:w="2160"/>
            <w:tcMar>
              <w:top w:w="55" w:type="dxa"/>
              <w:start w:w="65" w:type="dxa"/>
              <w:bottom w:w="55" w:type="dxa"/>
              <w:end w:w="65" w:type="dxa"/>
            </w:tcMar>
            <w:vAlign w:val="top"/>
            <w:shd w:fill="F7F9FB"/>
          </w:tcPr>
          <w:p>
            <w:r>
              <w:rPr>
                <w:rFonts w:ascii="Aptos" w:hAnsi="Aptos"/>
                <w:sz w:val="16"/>
              </w:rPr>
              <w:t>M&amp;E</w:t>
            </w:r>
          </w:p>
        </w:tc>
        <w:tc>
          <w:tcPr>
            <w:tcW w:type="dxa" w:w="8352"/>
            <w:tcMar>
              <w:top w:w="55" w:type="dxa"/>
              <w:start w:w="65" w:type="dxa"/>
              <w:bottom w:w="55" w:type="dxa"/>
              <w:end w:w="65" w:type="dxa"/>
            </w:tcMar>
            <w:vAlign w:val="top"/>
            <w:shd w:fill="F7F9FB"/>
          </w:tcPr>
          <w:p>
            <w:r>
              <w:rPr>
                <w:rFonts w:ascii="Aptos" w:hAnsi="Aptos"/>
                <w:sz w:val="16"/>
              </w:rPr>
              <w:t>Monitoring and Evaluation</w:t>
            </w:r>
          </w:p>
        </w:tc>
      </w:tr>
      <w:tr>
        <w:trPr>
          <w:cantSplit/>
        </w:trPr>
        <w:tc>
          <w:tcPr>
            <w:tcW w:type="dxa" w:w="2160"/>
            <w:tcMar>
              <w:top w:w="55" w:type="dxa"/>
              <w:start w:w="65" w:type="dxa"/>
              <w:bottom w:w="55" w:type="dxa"/>
              <w:end w:w="65" w:type="dxa"/>
            </w:tcMar>
            <w:vAlign w:val="top"/>
          </w:tcPr>
          <w:p>
            <w:r>
              <w:rPr>
                <w:rFonts w:ascii="Aptos" w:hAnsi="Aptos"/>
                <w:sz w:val="16"/>
              </w:rPr>
              <w:t>NEMA</w:t>
            </w:r>
          </w:p>
        </w:tc>
        <w:tc>
          <w:tcPr>
            <w:tcW w:type="dxa" w:w="8352"/>
            <w:tcMar>
              <w:top w:w="55" w:type="dxa"/>
              <w:start w:w="65" w:type="dxa"/>
              <w:bottom w:w="55" w:type="dxa"/>
              <w:end w:w="65" w:type="dxa"/>
            </w:tcMar>
            <w:vAlign w:val="top"/>
          </w:tcPr>
          <w:p>
            <w:r>
              <w:rPr>
                <w:rFonts w:ascii="Aptos" w:hAnsi="Aptos"/>
                <w:sz w:val="16"/>
              </w:rPr>
              <w:t>National Environment Management Authority</w:t>
            </w:r>
          </w:p>
        </w:tc>
      </w:tr>
      <w:tr>
        <w:trPr>
          <w:cantSplit/>
        </w:trPr>
        <w:tc>
          <w:tcPr>
            <w:tcW w:type="dxa" w:w="2160"/>
            <w:tcMar>
              <w:top w:w="55" w:type="dxa"/>
              <w:start w:w="65" w:type="dxa"/>
              <w:bottom w:w="55" w:type="dxa"/>
              <w:end w:w="65" w:type="dxa"/>
            </w:tcMar>
            <w:vAlign w:val="top"/>
            <w:shd w:fill="F7F9FB"/>
          </w:tcPr>
          <w:p>
            <w:r>
              <w:rPr>
                <w:rFonts w:ascii="Aptos" w:hAnsi="Aptos"/>
                <w:sz w:val="16"/>
              </w:rPr>
              <w:t>QA</w:t>
            </w:r>
          </w:p>
        </w:tc>
        <w:tc>
          <w:tcPr>
            <w:tcW w:type="dxa" w:w="8352"/>
            <w:tcMar>
              <w:top w:w="55" w:type="dxa"/>
              <w:start w:w="65" w:type="dxa"/>
              <w:bottom w:w="55" w:type="dxa"/>
              <w:end w:w="65" w:type="dxa"/>
            </w:tcMar>
            <w:vAlign w:val="top"/>
            <w:shd w:fill="F7F9FB"/>
          </w:tcPr>
          <w:p>
            <w:r>
              <w:rPr>
                <w:rFonts w:ascii="Aptos" w:hAnsi="Aptos"/>
                <w:sz w:val="16"/>
              </w:rPr>
              <w:t>Quality Assurance</w:t>
            </w:r>
          </w:p>
        </w:tc>
      </w:tr>
      <w:tr>
        <w:trPr>
          <w:cantSplit/>
        </w:trPr>
        <w:tc>
          <w:tcPr>
            <w:tcW w:type="dxa" w:w="2160"/>
            <w:tcMar>
              <w:top w:w="55" w:type="dxa"/>
              <w:start w:w="65" w:type="dxa"/>
              <w:bottom w:w="55" w:type="dxa"/>
              <w:end w:w="65" w:type="dxa"/>
            </w:tcMar>
            <w:vAlign w:val="top"/>
          </w:tcPr>
          <w:p>
            <w:r>
              <w:rPr>
                <w:rFonts w:ascii="Aptos" w:hAnsi="Aptos"/>
                <w:sz w:val="16"/>
              </w:rPr>
              <w:t>SACCO</w:t>
            </w:r>
          </w:p>
        </w:tc>
        <w:tc>
          <w:tcPr>
            <w:tcW w:type="dxa" w:w="8352"/>
            <w:tcMar>
              <w:top w:w="55" w:type="dxa"/>
              <w:start w:w="65" w:type="dxa"/>
              <w:bottom w:w="55" w:type="dxa"/>
              <w:end w:w="65" w:type="dxa"/>
            </w:tcMar>
            <w:vAlign w:val="top"/>
          </w:tcPr>
          <w:p>
            <w:r>
              <w:rPr>
                <w:rFonts w:ascii="Aptos" w:hAnsi="Aptos"/>
                <w:sz w:val="16"/>
              </w:rPr>
              <w:t>Savings and Credit Cooperative Society</w:t>
            </w:r>
          </w:p>
        </w:tc>
      </w:tr>
      <w:tr>
        <w:trPr>
          <w:cantSplit/>
        </w:trPr>
        <w:tc>
          <w:tcPr>
            <w:tcW w:type="dxa" w:w="2160"/>
            <w:tcMar>
              <w:top w:w="55" w:type="dxa"/>
              <w:start w:w="65" w:type="dxa"/>
              <w:bottom w:w="55" w:type="dxa"/>
              <w:end w:w="65" w:type="dxa"/>
            </w:tcMar>
            <w:vAlign w:val="top"/>
            <w:shd w:fill="F7F9FB"/>
          </w:tcPr>
          <w:p>
            <w:r>
              <w:rPr>
                <w:rFonts w:ascii="Aptos" w:hAnsi="Aptos"/>
                <w:sz w:val="16"/>
              </w:rPr>
              <w:t>SME</w:t>
            </w:r>
          </w:p>
        </w:tc>
        <w:tc>
          <w:tcPr>
            <w:tcW w:type="dxa" w:w="8352"/>
            <w:tcMar>
              <w:top w:w="55" w:type="dxa"/>
              <w:start w:w="65" w:type="dxa"/>
              <w:bottom w:w="55" w:type="dxa"/>
              <w:end w:w="65" w:type="dxa"/>
            </w:tcMar>
            <w:vAlign w:val="top"/>
            <w:shd w:fill="F7F9FB"/>
          </w:tcPr>
          <w:p>
            <w:r>
              <w:rPr>
                <w:rFonts w:ascii="Aptos" w:hAnsi="Aptos"/>
                <w:sz w:val="16"/>
              </w:rPr>
              <w:t>Small and Medium Enterprise</w:t>
            </w:r>
          </w:p>
        </w:tc>
      </w:tr>
      <w:tr>
        <w:trPr>
          <w:cantSplit/>
        </w:trPr>
        <w:tc>
          <w:tcPr>
            <w:tcW w:type="dxa" w:w="2160"/>
            <w:tcMar>
              <w:top w:w="55" w:type="dxa"/>
              <w:start w:w="65" w:type="dxa"/>
              <w:bottom w:w="55" w:type="dxa"/>
              <w:end w:w="65" w:type="dxa"/>
            </w:tcMar>
            <w:vAlign w:val="top"/>
          </w:tcPr>
          <w:p>
            <w:r>
              <w:rPr>
                <w:rFonts w:ascii="Aptos" w:hAnsi="Aptos"/>
                <w:sz w:val="16"/>
              </w:rPr>
              <w:t>UCO</w:t>
            </w:r>
          </w:p>
        </w:tc>
        <w:tc>
          <w:tcPr>
            <w:tcW w:type="dxa" w:w="8352"/>
            <w:tcMar>
              <w:top w:w="55" w:type="dxa"/>
              <w:start w:w="65" w:type="dxa"/>
              <w:bottom w:w="55" w:type="dxa"/>
              <w:end w:w="65" w:type="dxa"/>
            </w:tcMar>
            <w:vAlign w:val="top"/>
          </w:tcPr>
          <w:p>
            <w:r>
              <w:rPr>
                <w:rFonts w:ascii="Aptos" w:hAnsi="Aptos"/>
                <w:sz w:val="16"/>
              </w:rPr>
              <w:t>Used Cooking Oil</w:t>
            </w:r>
          </w:p>
        </w:tc>
      </w:tr>
      <w:tr>
        <w:trPr>
          <w:cantSplit/>
        </w:trPr>
        <w:tc>
          <w:tcPr>
            <w:tcW w:type="dxa" w:w="5040"/>
            <w:tcMar>
              <w:top w:w="55" w:type="dxa"/>
              <w:start w:w="65" w:type="dxa"/>
              <w:bottom w:w="55" w:type="dxa"/>
              <w:end w:w="65" w:type="dxa"/>
            </w:tcMar>
            <w:shd w:fill="F7F9FB"/>
          </w:tcPr>
          <w:p>
            <w:r>
              <w:rPr>
                <w:rFonts w:ascii="Aptos" w:hAnsi="Aptos"/>
                <w:sz w:val="16"/>
              </w:rPr>
              <w:t>DLT</w:t>
            </w:r>
          </w:p>
        </w:tc>
        <w:tc>
          <w:tcPr>
            <w:tcW w:type="dxa" w:w="5040"/>
            <w:tcMar>
              <w:top w:w="55" w:type="dxa"/>
              <w:start w:w="65" w:type="dxa"/>
              <w:bottom w:w="55" w:type="dxa"/>
              <w:end w:w="65" w:type="dxa"/>
            </w:tcMar>
            <w:shd w:fill="F7F9FB"/>
          </w:tcPr>
          <w:p>
            <w:r>
              <w:rPr>
                <w:rFonts w:ascii="Aptos" w:hAnsi="Aptos"/>
                <w:sz w:val="16"/>
              </w:rPr>
              <w:t>Distributed Ledger Technology</w:t>
            </w:r>
          </w:p>
        </w:tc>
      </w:tr>
      <w:tr>
        <w:trPr>
          <w:cantSplit/>
        </w:trPr>
        <w:tc>
          <w:tcPr>
            <w:tcW w:type="dxa" w:w="5040"/>
            <w:tcMar>
              <w:top w:w="55" w:type="dxa"/>
              <w:start w:w="65" w:type="dxa"/>
              <w:bottom w:w="55" w:type="dxa"/>
              <w:end w:w="65" w:type="dxa"/>
            </w:tcMar>
          </w:tcPr>
          <w:p>
            <w:r>
              <w:rPr>
                <w:rFonts w:ascii="Aptos" w:hAnsi="Aptos"/>
                <w:sz w:val="16"/>
              </w:rPr>
              <w:t>DPP</w:t>
            </w:r>
          </w:p>
        </w:tc>
        <w:tc>
          <w:tcPr>
            <w:tcW w:type="dxa" w:w="5040"/>
            <w:tcMar>
              <w:top w:w="55" w:type="dxa"/>
              <w:start w:w="65" w:type="dxa"/>
              <w:bottom w:w="55" w:type="dxa"/>
              <w:end w:w="65" w:type="dxa"/>
            </w:tcMar>
          </w:tcPr>
          <w:p>
            <w:r>
              <w:rPr>
                <w:rFonts w:ascii="Aptos" w:hAnsi="Aptos"/>
                <w:sz w:val="16"/>
              </w:rPr>
              <w:t>Digital Product Passport</w:t>
            </w:r>
          </w:p>
        </w:tc>
      </w:tr>
      <w:tr>
        <w:trPr>
          <w:cantSplit/>
        </w:trPr>
        <w:tc>
          <w:tcPr>
            <w:tcW w:type="dxa" w:w="5040"/>
            <w:tcMar>
              <w:top w:w="55" w:type="dxa"/>
              <w:start w:w="65" w:type="dxa"/>
              <w:bottom w:w="55" w:type="dxa"/>
              <w:end w:w="65" w:type="dxa"/>
            </w:tcMar>
            <w:shd w:fill="F7F9FB"/>
          </w:tcPr>
          <w:p>
            <w:r>
              <w:rPr>
                <w:rFonts w:ascii="Aptos" w:hAnsi="Aptos"/>
                <w:sz w:val="16"/>
              </w:rPr>
              <w:t>EPCIS</w:t>
            </w:r>
          </w:p>
        </w:tc>
        <w:tc>
          <w:tcPr>
            <w:tcW w:type="dxa" w:w="5040"/>
            <w:tcMar>
              <w:top w:w="55" w:type="dxa"/>
              <w:start w:w="65" w:type="dxa"/>
              <w:bottom w:w="55" w:type="dxa"/>
              <w:end w:w="65" w:type="dxa"/>
            </w:tcMar>
            <w:shd w:fill="F7F9FB"/>
          </w:tcPr>
          <w:p>
            <w:r>
              <w:rPr>
                <w:rFonts w:ascii="Aptos" w:hAnsi="Aptos"/>
                <w:sz w:val="16"/>
              </w:rPr>
              <w:t>Electronic Product Code Information Services</w:t>
            </w:r>
          </w:p>
        </w:tc>
      </w:tr>
      <w:tr>
        <w:trPr>
          <w:cantSplit/>
        </w:trPr>
        <w:tc>
          <w:tcPr>
            <w:tcW w:type="dxa" w:w="5040"/>
            <w:tcMar>
              <w:top w:w="55" w:type="dxa"/>
              <w:start w:w="65" w:type="dxa"/>
              <w:bottom w:w="55" w:type="dxa"/>
              <w:end w:w="65" w:type="dxa"/>
            </w:tcMar>
          </w:tcPr>
          <w:p>
            <w:r>
              <w:rPr>
                <w:rFonts w:ascii="Aptos" w:hAnsi="Aptos"/>
                <w:sz w:val="16"/>
              </w:rPr>
              <w:t>VC</w:t>
            </w:r>
          </w:p>
        </w:tc>
        <w:tc>
          <w:tcPr>
            <w:tcW w:type="dxa" w:w="5040"/>
            <w:tcMar>
              <w:top w:w="55" w:type="dxa"/>
              <w:start w:w="65" w:type="dxa"/>
              <w:bottom w:w="55" w:type="dxa"/>
              <w:end w:w="65" w:type="dxa"/>
            </w:tcMar>
          </w:tcPr>
          <w:p>
            <w:r>
              <w:rPr>
                <w:rFonts w:ascii="Aptos" w:hAnsi="Aptos"/>
                <w:sz w:val="16"/>
              </w:rPr>
              <w:t>Verifiable Credential</w:t>
            </w:r>
          </w:p>
        </w:tc>
      </w:tr>
      <w:tr>
        <w:trPr>
          <w:cantSplit/>
        </w:trPr>
        <w:tc>
          <w:tcPr>
            <w:tcW w:type="dxa" w:w="5040"/>
            <w:tcMar>
              <w:top w:w="55" w:type="dxa"/>
              <w:start w:w="65" w:type="dxa"/>
              <w:bottom w:w="55" w:type="dxa"/>
              <w:end w:w="65" w:type="dxa"/>
            </w:tcMar>
            <w:shd w:fill="F7F9FB"/>
          </w:tcPr>
          <w:p>
            <w:r>
              <w:rPr>
                <w:rFonts w:ascii="Aptos" w:hAnsi="Aptos"/>
                <w:sz w:val="16"/>
              </w:rPr>
              <w:t>PDC</w:t>
            </w:r>
          </w:p>
        </w:tc>
        <w:tc>
          <w:tcPr>
            <w:tcW w:type="dxa" w:w="5040"/>
            <w:tcMar>
              <w:top w:w="55" w:type="dxa"/>
              <w:start w:w="65" w:type="dxa"/>
              <w:bottom w:w="55" w:type="dxa"/>
              <w:end w:w="65" w:type="dxa"/>
            </w:tcMar>
            <w:shd w:fill="F7F9FB"/>
          </w:tcPr>
          <w:p>
            <w:r>
              <w:rPr>
                <w:rFonts w:ascii="Aptos" w:hAnsi="Aptos"/>
                <w:sz w:val="16"/>
              </w:rPr>
              <w:t>Private Data Collection</w:t>
            </w:r>
          </w:p>
        </w:tc>
      </w:tr>
    </w:tbl>
    <w:p>
      <w:pPr>
        <w:spacing w:after="0"/>
      </w:pPr>
    </w:p>
    <w:p>
      <w:pPr>
        <w:pStyle w:val="Heading1"/>
        <w:keepNext/>
      </w:pPr>
      <w:r>
        <w:t>1. Executive Summary</w:t>
      </w:r>
    </w:p>
    <w:p>
      <w:pPr>
        <w:pStyle w:val="BodyText"/>
      </w:pPr>
      <w:r>
        <w:t>AfriEuro Links is a 36-month integrated market-systems, digital-infrastructure and enterprise-trust programme connecting regenerative cotton, responsible fashion, renewable oils, payments, weather intelligence, assurance and Kenyan-to-European market access. It will establish a shared standards and interoperability layer across Labl Group East Africa LTD, Labl Farms LTD, Labl Fashion LTD and the strategic partner Crostar Energy LTD while preserving the independent governance of LaDOS and CEOS. A permissioned blockchain trust layer will anchor selected cross-enterprise events, signatures and credentials without merging operational databases or placing sensitive personal and commercial data on an immutable shared ledger.</w:t>
      </w:r>
    </w:p>
    <w:p>
      <w:pPr>
        <w:pStyle w:val="BodyText"/>
      </w:pPr>
      <w:r>
        <w:t>The programme will establish commercially governed producer clusters, whole-farm and quality protocols, GIS and environmental mapping, provider-neutral payment integrations, partner weather-data feeds, AI-supported operational tools, standards-based traceability, permissioned blockchain proofs, verifiable credentials, ESG and climate-finance evidence, pilot production and diversified buyer relationships. The blockchain capability will use authorised membership, minimum on-chain data, multi-party endorsement and off-chain source systems; it is not a cryptocurrency or token-financing programme.</w:t>
      </w:r>
    </w:p>
    <w:p>
      <w:pPr>
        <w:pStyle w:val="BodyText"/>
      </w:pPr>
      <w:r>
        <w:t>Labl Group East Africa LTD, registered in Kenya on 20 December 2019 under Company No. PVT-PJU92LB and KRA PIN P051868537Y, will serve as lead applicant and AfriEuro Links platform-governance owner. Labl Fashion LTD begins controlled operations on 1 October 2026 and leads customer, product, manufacturing, DPP and circularity functions. Labl Farms LTD begins formal operations on 1 January 2027 and leads farmer services, whole-farm resilience, GIS/environmental evidence, aggregation and stage-gated fibre, colour and oilseed pathways. Crostar Energy LTD is a separate strategic partner and subsidiary of Forest Energy B.V.; it owns CEOS business governance and leads oilseed/UCO, processing, HSE and energy-market pathways.</w:t>
      </w:r>
    </w:p>
    <w:p>
      <w:pPr>
        <w:pStyle w:val="BodyText"/>
      </w:pPr>
      <w:r>
        <w:t>The programme will establish the infrastructure for Labl Farms’ conditional active-farmer pathway of 4,000 in 2027, 8,000 in 2028, 16,000 in 2029 and 32,000 in 2030. These figures are planning targets, not automatic grant attribution, and each increase is gated by demand, service quality, safeguarding, traceability, processing, working capital, timely payment and participant benefit. The programme will also link at least 120 SMEs or producer enterprises, strengthen at least 12 aggregation structures, conclude at least six structured supply arrangements and facilitate at least KES 250 million in cumulative transactions, subject to baseline and market validation.</w:t>
      </w:r>
    </w:p>
    <w:p>
      <w:pPr>
        <w:pStyle w:val="Heading1"/>
        <w:keepNext/>
      </w:pPr>
      <w:r>
        <w:t>2. Applicant and Consortium Profile</w:t>
      </w:r>
    </w:p>
    <w:p>
      <w:pPr>
        <w:pStyle w:val="Heading2"/>
        <w:keepNext/>
      </w:pPr>
      <w:r>
        <w:t>2.1 Lead Applicant: Labl Group East Africa Ltd</w:t>
      </w:r>
    </w:p>
    <w:p>
      <w:pPr>
        <w:pStyle w:val="BodyText"/>
      </w:pPr>
      <w:r>
        <w:t>Labl Group East Africa LTD is a Kenyan private social enterprise registered on 20 December 2019 under Company No. PVT-PJU92LB and KRA PIN P051868537Y. It provides group strategy, governance, capital coordination, shared services, partnerships, market development, digital product governance and consolidated assurance. The Rakhasi/Sagalla platform near Voi is the group’s six-acre demonstration and production anchor, supported by planned commercial coordination in Westlands, Nairobi from January 2027. Labl Fashion LTD and Labl Farms LTD are separate registered Kenyan operating companies within the group architecture.</w:t>
      </w:r>
    </w:p>
    <w:p>
      <w:pPr>
        <w:pStyle w:val="BodyText"/>
      </w:pPr>
      <w:r>
        <w:t>Labl Group East Africa has developed its Rakhasi/Sagalla platform near Voi on a six-acre property. The site includes a garment-production facility, electricity, a demonstration farm and a borehole awaiting equipping. Pilot garment production and preparatory community engagement do not count as full operations or active-farmer delivery. Labl Fashion controlled operations begin on 1 October 2026; formal Labl Farms and full group operations begin on 1 January 2027.</w:t>
      </w:r>
    </w:p>
    <w:p>
      <w:r>
        <w:t>Although Labl Fashion B.V. is based in the Netherlands, AfriEuro Links is designed as a Kenya–European Union market-access programme rather than a single-country sourcing arrangement. The Netherlands base will be used to open and coordinate commercial relationships across EU member states, including textile brands, garment and fibre buyers, sustainability and traceability service providers, logistics companies, impact investors and development-finance institutions. This diversified approach will reduce single-market risk and broaden opportunities for Kenyan farmers and SMEs.</w:t>
      </w:r>
    </w:p>
    <w:p>
      <w:pPr>
        <w:pStyle w:val="Heading3"/>
      </w:pPr>
      <w:r>
        <w:t>2.1.1 Labl Fashion B.V. - Parent Shareholder and European Market Gateway</w:t>
      </w:r>
    </w:p>
    <w:p>
      <w:pPr>
        <w:pStyle w:val="BodyText"/>
      </w:pPr>
      <w:r>
        <w:t>Labl Fashion B.V., registered and domiciled in the Netherlands, has a shareholder interest in Labl Group East Africa Ltd. It will provide Dutch and wider European Union market intelligence, textile-sector and brand linkages, product-development feedback, buyer introductions, commercial diplomacy support and engagement with potential financing partners. Its Netherlands base creates a direct Dutch earning-capacity linkage while serving as the programme's initial gateway into multiple EU member-state markets rather than a single-country off-take arrangement.</w:t>
      </w:r>
    </w:p>
    <w:p>
      <w:pPr>
        <w:pStyle w:val="Heading2"/>
        <w:keepNext/>
      </w:pPr>
      <w:r>
        <w:t>2.2 Crostar Energy Ltd</w:t>
      </w:r>
    </w:p>
    <w:p>
      <w:pPr>
        <w:pStyle w:val="BodyText"/>
      </w:pPr>
      <w:r>
        <w:t>Crostar Energy LTD is a Kenyan renewable-energy and renewable-oils enterprise incorporated on 1 September 2024 under Company No. PVT-MKU926M6 and KRA PIN P052358605F. It is a subsidiary of Forest Energy B.V. and a strategic partner to Labl Group East Africa and Labl Farms; it is not an LGEA subsidiary. Crostar’s Mavueni hub anchors a coastal-first sequence covering Kilifi, Mombasa, Kwale and Taita Taveta, followed conditionally by Tana River and Lamu; Kitui, Homa Bay and Nyeri remain later gated options. CEOS remains independently governed by Crostar.</w:t>
      </w:r>
    </w:p>
    <w:p>
      <w:pPr>
        <w:pStyle w:val="Heading2"/>
        <w:keepNext/>
      </w:pPr>
      <w:r>
        <w:t>2.3 Goblis Foundation</w:t>
      </w:r>
    </w:p>
    <w:p>
      <w:pPr>
        <w:pStyle w:val="BodyText"/>
      </w:pPr>
      <w:r>
        <w:t>Goblis Foundation will serve as the independent community training, inclusion, safeguarding, financial-literacy, accountability and milestone-based community-grant support partner. It will not supervise Afribiz Consultancy Limited and will not approve its own grant or payment evidence.</w:t>
      </w:r>
    </w:p>
    <w:p>
      <w:pPr>
        <w:pStyle w:val="Heading2"/>
        <w:keepNext/>
      </w:pPr>
      <w:r>
        <w:t>2.4 Afrisol Technologies Limited</w:t>
      </w:r>
    </w:p>
    <w:p>
      <w:pPr>
        <w:pStyle w:val="BodyText"/>
      </w:pPr>
      <w:r>
        <w:t>Afrisol Technologies Limited will be contracted as the specialist digital systems provider. It will undertake requirements analysis, solution and data architecture, user-experience design, LaDOS/CEOS/AfriEuro modules, GIS, payment and weather integrations, permissioned blockchain, smart-contract and verifiable-credential delivery, cybersecurity, testing, deployment, maintenance and handover. Technology selection will remain standards-led and subject to total-cost, security, performance and local-support evaluation.</w:t>
      </w:r>
    </w:p>
    <w:p>
      <w:pPr>
        <w:pStyle w:val="Heading2"/>
        <w:keepNext/>
      </w:pPr>
      <w:r>
        <w:t>2.5 Afribiz Consultancy Limited</w:t>
      </w:r>
    </w:p>
    <w:p>
      <w:pPr>
        <w:pStyle w:val="BodyText"/>
      </w:pPr>
      <w:r>
        <w:t>Afribiz Consultancy Limited is a separate programme partner and field-service provider. It will identify and register farmers, cooperatives, community organisations and SMEs; support consent, documentation and data verification; assist onboarding and corrections; and report through a direct contract, work plan, budget, data-processing obligations and acceptance criteria. It will not operate under Goblis Foundation and cannot approve its own eligibility, payments or data exceptions.</w:t>
      </w:r>
    </w:p>
    <w:p>
      <w:pPr>
        <w:pStyle w:val="Heading2"/>
        <w:keepNext/>
      </w:pPr>
      <w:r>
        <w:t>2.6 Public-Sector and Regulatory Partners</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3312"/>
            <w:shd w:fill="1F4E78"/>
            <w:vAlign w:val="center"/>
            <w:tcMar>
              <w:top w:w="80" w:type="dxa"/>
              <w:start w:w="100" w:type="dxa"/>
              <w:bottom w:w="80" w:type="dxa"/>
              <w:end w:w="100" w:type="dxa"/>
            </w:tcMar>
          </w:tcPr>
          <w:p>
            <w:r>
              <w:t>Institution</w:t>
            </w:r>
          </w:p>
        </w:tc>
        <w:tc>
          <w:tcPr>
            <w:tcW w:type="dxa" w:w="7200"/>
            <w:shd w:fill="1F4E78"/>
            <w:vAlign w:val="center"/>
            <w:tcMar>
              <w:top w:w="80" w:type="dxa"/>
              <w:start w:w="100" w:type="dxa"/>
              <w:bottom w:w="80" w:type="dxa"/>
              <w:end w:w="100" w:type="dxa"/>
            </w:tcMar>
          </w:tcPr>
          <w:p>
            <w:r>
              <w:t>Proposed role</w:t>
            </w:r>
          </w:p>
        </w:tc>
      </w:tr>
      <w:tr>
        <w:tc>
          <w:tcPr>
            <w:tcW w:type="dxa" w:w="3312"/>
            <w:tcMar>
              <w:top w:w="80" w:type="dxa"/>
              <w:start w:w="100" w:type="dxa"/>
              <w:bottom w:w="80" w:type="dxa"/>
              <w:end w:w="100" w:type="dxa"/>
            </w:tcMar>
            <w:vAlign w:val="top"/>
          </w:tcPr>
          <w:p>
            <w:r>
              <w:t>County Government of Taita Taveta</w:t>
            </w:r>
          </w:p>
        </w:tc>
        <w:tc>
          <w:tcPr>
            <w:tcW w:type="dxa" w:w="7200"/>
            <w:tcMar>
              <w:top w:w="80" w:type="dxa"/>
              <w:start w:w="100" w:type="dxa"/>
              <w:bottom w:w="80" w:type="dxa"/>
              <w:end w:w="100" w:type="dxa"/>
            </w:tcMar>
            <w:vAlign w:val="top"/>
          </w:tcPr>
          <w:p>
            <w:r>
              <w:t>Local mobilisation, extension, cooperative support, county coordination, demonstration and replication of cotton and diversified farming models.</w:t>
            </w:r>
          </w:p>
        </w:tc>
      </w:tr>
      <w:tr>
        <w:tc>
          <w:tcPr>
            <w:tcW w:type="dxa" w:w="3312"/>
            <w:tcMar>
              <w:top w:w="80" w:type="dxa"/>
              <w:start w:w="100" w:type="dxa"/>
              <w:bottom w:w="80" w:type="dxa"/>
              <w:end w:w="100" w:type="dxa"/>
            </w:tcMar>
            <w:vAlign w:val="top"/>
            <w:shd w:fill="EAF2F8"/>
          </w:tcPr>
          <w:p>
            <w:r>
              <w:t>County Government of Kilifi</w:t>
            </w:r>
          </w:p>
        </w:tc>
        <w:tc>
          <w:tcPr>
            <w:tcW w:type="dxa" w:w="7200"/>
            <w:tcMar>
              <w:top w:w="80" w:type="dxa"/>
              <w:start w:w="100" w:type="dxa"/>
              <w:bottom w:w="80" w:type="dxa"/>
              <w:end w:w="100" w:type="dxa"/>
            </w:tcMar>
            <w:vAlign w:val="top"/>
            <w:shd w:fill="EAF2F8"/>
          </w:tcPr>
          <w:p>
            <w:r>
              <w:t>Oilseed farmer mobilisation, extension, cooperative and SME support, local approvals, aggregation planning and integration with county agriculture, trade and climate programmes.</w:t>
            </w:r>
          </w:p>
        </w:tc>
      </w:tr>
      <w:tr>
        <w:tc>
          <w:tcPr>
            <w:tcW w:type="dxa" w:w="3312"/>
            <w:tcMar>
              <w:top w:w="80" w:type="dxa"/>
              <w:start w:w="100" w:type="dxa"/>
              <w:bottom w:w="80" w:type="dxa"/>
              <w:end w:w="100" w:type="dxa"/>
            </w:tcMar>
            <w:vAlign w:val="top"/>
          </w:tcPr>
          <w:p>
            <w:r>
              <w:t>Ministry of Agriculture and Livestock Development</w:t>
            </w:r>
          </w:p>
        </w:tc>
        <w:tc>
          <w:tcPr>
            <w:tcW w:type="dxa" w:w="7200"/>
            <w:tcMar>
              <w:top w:w="80" w:type="dxa"/>
              <w:start w:w="100" w:type="dxa"/>
              <w:bottom w:w="80" w:type="dxa"/>
              <w:end w:w="100" w:type="dxa"/>
            </w:tcMar>
            <w:vAlign w:val="top"/>
          </w:tcPr>
          <w:p>
            <w:r>
              <w:t>National crop-development guidance; agronomic protocols; coordination with AFA, KALRO and KEPHIS; planting material, plant health, food-security, extension and replication guidance.</w:t>
            </w:r>
          </w:p>
        </w:tc>
      </w:tr>
      <w:tr>
        <w:tc>
          <w:tcPr>
            <w:tcW w:type="dxa" w:w="3312"/>
            <w:tcMar>
              <w:top w:w="80" w:type="dxa"/>
              <w:start w:w="100" w:type="dxa"/>
              <w:bottom w:w="80" w:type="dxa"/>
              <w:end w:w="100" w:type="dxa"/>
            </w:tcMar>
            <w:vAlign w:val="top"/>
            <w:shd w:fill="EAF2F8"/>
          </w:tcPr>
          <w:p>
            <w:r>
              <w:t>Ministry of Trade, Investments and Industry</w:t>
            </w:r>
          </w:p>
        </w:tc>
        <w:tc>
          <w:tcPr>
            <w:tcW w:type="dxa" w:w="7200"/>
            <w:tcMar>
              <w:top w:w="80" w:type="dxa"/>
              <w:start w:w="100" w:type="dxa"/>
              <w:bottom w:w="80" w:type="dxa"/>
              <w:end w:w="100" w:type="dxa"/>
            </w:tcMar>
            <w:vAlign w:val="top"/>
            <w:shd w:fill="EAF2F8"/>
          </w:tcPr>
          <w:p>
            <w:r>
              <w:t>Trade and industrialisation alignment; SME and value-addition linkages; Dutch and wider European Union export readiness; standards coordination; commercial diplomacy; and national scaling.</w:t>
            </w:r>
          </w:p>
        </w:tc>
      </w:tr>
      <w:tr>
        <w:tc>
          <w:tcPr>
            <w:tcW w:type="dxa" w:w="3312"/>
            <w:tcMar>
              <w:top w:w="80" w:type="dxa"/>
              <w:start w:w="100" w:type="dxa"/>
              <w:bottom w:w="80" w:type="dxa"/>
              <w:end w:w="100" w:type="dxa"/>
            </w:tcMar>
            <w:vAlign w:val="top"/>
          </w:tcPr>
          <w:p>
            <w:r>
              <w:t>Ministry of Energy and Petroleum</w:t>
            </w:r>
          </w:p>
        </w:tc>
        <w:tc>
          <w:tcPr>
            <w:tcW w:type="dxa" w:w="7200"/>
            <w:tcMar>
              <w:top w:w="80" w:type="dxa"/>
              <w:start w:w="100" w:type="dxa"/>
              <w:bottom w:w="80" w:type="dxa"/>
              <w:end w:w="100" w:type="dxa"/>
            </w:tcMar>
            <w:vAlign w:val="top"/>
          </w:tcPr>
          <w:p>
            <w:r>
              <w:t>Biofuel-policy alignment, renewable-energy coordination and liaison on applicable approvals, technical standards and sector development.</w:t>
            </w:r>
          </w:p>
        </w:tc>
      </w:tr>
      <w:tr>
        <w:tc>
          <w:tcPr>
            <w:tcW w:type="dxa" w:w="3312"/>
            <w:tcMar>
              <w:top w:w="80" w:type="dxa"/>
              <w:start w:w="100" w:type="dxa"/>
              <w:bottom w:w="80" w:type="dxa"/>
              <w:end w:w="100" w:type="dxa"/>
            </w:tcMar>
            <w:vAlign w:val="top"/>
            <w:shd w:fill="EAF2F8"/>
          </w:tcPr>
          <w:p>
            <w:r>
              <w:t>NEMA</w:t>
            </w:r>
          </w:p>
        </w:tc>
        <w:tc>
          <w:tcPr>
            <w:tcW w:type="dxa" w:w="7200"/>
            <w:tcMar>
              <w:top w:w="80" w:type="dxa"/>
              <w:start w:w="100" w:type="dxa"/>
              <w:bottom w:w="80" w:type="dxa"/>
              <w:end w:w="100" w:type="dxa"/>
            </w:tcMar>
            <w:vAlign w:val="top"/>
            <w:shd w:fill="EAF2F8"/>
          </w:tcPr>
          <w:p>
            <w:r>
              <w:t>Environmental screening, EIA licensing where required, environmental-management conditions, compliance monitoring and environmental audits.</w:t>
            </w:r>
          </w:p>
        </w:tc>
      </w:tr>
      <w:tr>
        <w:tc>
          <w:tcPr>
            <w:tcW w:type="dxa" w:w="3312"/>
            <w:tcMar>
              <w:top w:w="80" w:type="dxa"/>
              <w:start w:w="100" w:type="dxa"/>
              <w:bottom w:w="80" w:type="dxa"/>
              <w:end w:w="100" w:type="dxa"/>
            </w:tcMar>
            <w:vAlign w:val="top"/>
          </w:tcPr>
          <w:p>
            <w:r>
              <w:t>EPRA, KEBS, DOSHS and other regulators</w:t>
            </w:r>
          </w:p>
        </w:tc>
        <w:tc>
          <w:tcPr>
            <w:tcW w:type="dxa" w:w="7200"/>
            <w:tcMar>
              <w:top w:w="80" w:type="dxa"/>
              <w:start w:w="100" w:type="dxa"/>
              <w:bottom w:w="80" w:type="dxa"/>
              <w:end w:w="100" w:type="dxa"/>
            </w:tcMar>
            <w:vAlign w:val="top"/>
          </w:tcPr>
          <w:p>
            <w:r>
              <w:t>Applicable energy, fuel-quality, occupational-safety, construction, storage, transport, processing and market approvals.</w:t>
            </w:r>
          </w:p>
        </w:tc>
      </w:tr>
    </w:tbl>
    <w:p>
      <w:pPr>
        <w:spacing w:after="0"/>
      </w:pPr>
    </w:p>
    <w:p>
      <w:pPr>
        <w:pStyle w:val="BodyText"/>
      </w:pPr>
      <w:r>
        <w:t>NEMA, EPRA, KEBS, DOSHS and other statutory bodies are regulators and competent authorities, not commercial consortium members. Their inclusion records the approvals, standards, oversight and compliance interfaces required by the project. All licences, permits, certifications and approvals will remain subject to independent statutory review; nothing in this proposal implies prior approval, exemption or guaranteed authorisation.</w:t>
      </w:r>
    </w:p>
    <w:p>
      <w:pPr>
        <w:pStyle w:val="Heading1"/>
        <w:keepNext/>
      </w:pPr>
      <w:r>
        <w:t>3. Background, Context and Problem Analysis</w:t>
      </w:r>
    </w:p>
    <w:p>
      <w:pPr>
        <w:pStyle w:val="Heading2"/>
        <w:keepNext/>
      </w:pPr>
      <w:r>
        <w:t>3.1 Sector context</w:t>
      </w:r>
    </w:p>
    <w:p>
      <w:pPr>
        <w:pStyle w:val="BodyText"/>
      </w:pPr>
      <w:r>
        <w:t>Kenya has a long history of cotton farming, ginning, textile manufacture and apparel production. The 2024 draft National Cotton, Textile and Apparel Policy records that the sector once accounted for about 30% of manufacturing employment and provided a market for more than 200,000 small-scale cotton farmers. It also records a decline from approximately 200,000 acres and 70,000 bales annually in the 1970s to about 30,000 acres and 7,000 bales in 2023, with only 15 of 52 textile mills operational. This history shows both the scale of the opportunity and the risk of rebuilding production without reliable market, quality and diversification systems. [IN-1]</w:t>
      </w:r>
    </w:p>
    <w:p>
      <w:pPr>
        <w:pStyle w:val="BodyText"/>
      </w:pPr>
      <w:r>
        <w:t>The production gap is visible in the pilot counties. The Agriculture and Food Authority yearbook cited in the concept note reports that Taita Taveta and Kilifi together produced only 90.89 metric tonnes of seed cotton from 881 acres in 2024, approximately 1.5% of national output. At the same time, Kenya retains more than 170 medium and large textile and apparel companies and over 70,000 micro and small enterprises outside export-processing zones. Connecting this industrial base to reliable, traceable local fibre and renewable-oil feedstocks is therefore a significant SME, manufacturing and trade-linkage opportunity. [IN-2] [IN-3]</w:t>
      </w:r>
    </w:p>
    <w:p>
      <w:pPr>
        <w:pStyle w:val="BodyText"/>
      </w:pPr>
      <w:r>
        <w:t>The renewable-oil pathway creates a complementary market. Cotton produces lint for textiles and seed that can generate oil and other by-products. Oil-producing trees and crops can provide additional industrial feedstocks on suitable land, while vegetables and fruits support household nutrition and local sales. The project therefore treats high export-entry costs and limited distribution or procurement opportunities as consequences of two anchor failures: fragmented value chains and weak SME-buyer linkages; and the lack of shared standardisation, quality assurance and traceability. Its response is not a cotton-only revival, but a resilient fibre, renewable-oil and food-production market system.</w:t>
      </w:r>
    </w:p>
    <w:p>
      <w:pPr>
        <w:pStyle w:val="Heading2"/>
        <w:keepNext/>
      </w:pPr>
      <w:r>
        <w:t>3.2 Core problem</w:t>
      </w:r>
    </w:p>
    <w:p>
      <w:pPr>
        <w:pStyle w:val="BodyText"/>
      </w:pPr>
      <w:r>
        <w:t>The core problem is that smallholder farmers and rural SMEs remain excluded from higher-value domestic and export markets because fragmented value chains are not supported by shared standards, quality assurance, traceability, transparent transactions and credible buyer linkages. Farmers sell small and variable volumes, SMEs lack records and working histories, buyers face high verification costs, and public services remain disconnected from end-to-end commercial transactions.</w:t>
      </w:r>
    </w:p>
    <w:p>
      <w:pPr>
        <w:pStyle w:val="Heading2"/>
        <w:keepNext/>
      </w:pPr>
      <w:r>
        <w:t>3.3 Problem tree</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2160"/>
            <w:shd w:fill="1F4E78"/>
            <w:vAlign w:val="center"/>
            <w:tcMar>
              <w:top w:w="80" w:type="dxa"/>
              <w:start w:w="100" w:type="dxa"/>
              <w:bottom w:w="80" w:type="dxa"/>
              <w:end w:w="100" w:type="dxa"/>
            </w:tcMar>
          </w:tcPr>
          <w:p>
            <w:r>
              <w:t>Level</w:t>
            </w:r>
          </w:p>
        </w:tc>
        <w:tc>
          <w:tcPr>
            <w:tcW w:type="dxa" w:w="8352"/>
            <w:shd w:fill="1F4E78"/>
            <w:vAlign w:val="center"/>
            <w:tcMar>
              <w:top w:w="80" w:type="dxa"/>
              <w:start w:w="100" w:type="dxa"/>
              <w:bottom w:w="80" w:type="dxa"/>
              <w:end w:w="100" w:type="dxa"/>
            </w:tcMar>
          </w:tcPr>
          <w:p>
            <w:r>
              <w:t>Problem elements</w:t>
            </w:r>
          </w:p>
        </w:tc>
      </w:tr>
      <w:tr>
        <w:tc>
          <w:tcPr>
            <w:tcW w:type="dxa" w:w="2160"/>
            <w:tcMar>
              <w:top w:w="80" w:type="dxa"/>
              <w:start w:w="100" w:type="dxa"/>
              <w:bottom w:w="80" w:type="dxa"/>
              <w:end w:w="100" w:type="dxa"/>
            </w:tcMar>
            <w:vAlign w:val="top"/>
          </w:tcPr>
          <w:p>
            <w:r>
              <w:t>Root causes</w:t>
            </w:r>
          </w:p>
        </w:tc>
        <w:tc>
          <w:tcPr>
            <w:tcW w:type="dxa" w:w="8352"/>
            <w:tcMar>
              <w:top w:w="80" w:type="dxa"/>
              <w:start w:w="100" w:type="dxa"/>
              <w:bottom w:w="80" w:type="dxa"/>
              <w:end w:w="100" w:type="dxa"/>
            </w:tcMar>
            <w:vAlign w:val="top"/>
          </w:tcPr>
          <w:p>
            <w:r>
              <w:t>Dispersed producers; weak cooperative governance; limited commercial data; unaffordable certification; weak internal controls; limited digital infrastructure; insufficient coordination among agriculture, trade, energy and environmental institutions.</w:t>
            </w:r>
          </w:p>
        </w:tc>
      </w:tr>
      <w:tr>
        <w:tc>
          <w:tcPr>
            <w:tcW w:type="dxa" w:w="2160"/>
            <w:tcMar>
              <w:top w:w="80" w:type="dxa"/>
              <w:start w:w="100" w:type="dxa"/>
              <w:bottom w:w="80" w:type="dxa"/>
              <w:end w:w="100" w:type="dxa"/>
            </w:tcMar>
            <w:vAlign w:val="top"/>
            <w:shd w:fill="EAF2F8"/>
          </w:tcPr>
          <w:p>
            <w:r>
              <w:t>Core constraints</w:t>
            </w:r>
          </w:p>
        </w:tc>
        <w:tc>
          <w:tcPr>
            <w:tcW w:type="dxa" w:w="8352"/>
            <w:tcMar>
              <w:top w:w="80" w:type="dxa"/>
              <w:start w:w="100" w:type="dxa"/>
              <w:bottom w:w="80" w:type="dxa"/>
              <w:end w:w="100" w:type="dxa"/>
            </w:tcMar>
            <w:vAlign w:val="top"/>
            <w:shd w:fill="EAF2F8"/>
          </w:tcPr>
          <w:p>
            <w:r>
              <w:t>Fragmented value chains and weak SME-buyer linkages; lack of standardisation, quality assurance and traceability.</w:t>
            </w:r>
          </w:p>
        </w:tc>
      </w:tr>
      <w:tr>
        <w:tc>
          <w:tcPr>
            <w:tcW w:type="dxa" w:w="2160"/>
            <w:tcMar>
              <w:top w:w="80" w:type="dxa"/>
              <w:start w:w="100" w:type="dxa"/>
              <w:bottom w:w="80" w:type="dxa"/>
              <w:end w:w="100" w:type="dxa"/>
            </w:tcMar>
            <w:vAlign w:val="top"/>
          </w:tcPr>
          <w:p>
            <w:r>
              <w:t>Immediate effects</w:t>
            </w:r>
          </w:p>
        </w:tc>
        <w:tc>
          <w:tcPr>
            <w:tcW w:type="dxa" w:w="8352"/>
            <w:tcMar>
              <w:top w:w="80" w:type="dxa"/>
              <w:start w:w="100" w:type="dxa"/>
              <w:bottom w:w="80" w:type="dxa"/>
              <w:end w:w="100" w:type="dxa"/>
            </w:tcMar>
            <w:vAlign w:val="top"/>
          </w:tcPr>
          <w:p>
            <w:r>
              <w:t>Inconsistent volumes and quality; buyer due-diligence costs; high market-entry risks; consignment rejection; delayed or opaque payment; poor access to finance and insurance.</w:t>
            </w:r>
          </w:p>
        </w:tc>
      </w:tr>
      <w:tr>
        <w:tc>
          <w:tcPr>
            <w:tcW w:type="dxa" w:w="2160"/>
            <w:tcMar>
              <w:top w:w="80" w:type="dxa"/>
              <w:start w:w="100" w:type="dxa"/>
              <w:bottom w:w="80" w:type="dxa"/>
              <w:end w:w="100" w:type="dxa"/>
            </w:tcMar>
            <w:vAlign w:val="top"/>
            <w:shd w:fill="EAF2F8"/>
          </w:tcPr>
          <w:p>
            <w:r>
              <w:t>Long-term effects</w:t>
            </w:r>
          </w:p>
        </w:tc>
        <w:tc>
          <w:tcPr>
            <w:tcW w:type="dxa" w:w="8352"/>
            <w:tcMar>
              <w:top w:w="80" w:type="dxa"/>
              <w:start w:w="100" w:type="dxa"/>
              <w:bottom w:w="80" w:type="dxa"/>
              <w:end w:w="100" w:type="dxa"/>
            </w:tcMar>
            <w:vAlign w:val="top"/>
            <w:shd w:fill="EAF2F8"/>
          </w:tcPr>
          <w:p>
            <w:r>
              <w:t>Low farmer income; weak rural enterprise growth; underused processing capacity; import dependence; low export competitiveness; and limited Kenya–Netherlands and wider European Union investment and trade mobilisation.</w:t>
            </w:r>
          </w:p>
        </w:tc>
      </w:tr>
    </w:tbl>
    <w:p>
      <w:pPr>
        <w:spacing w:after="0"/>
      </w:pPr>
    </w:p>
    <w:p>
      <w:pPr>
        <w:pStyle w:val="Heading2"/>
        <w:keepNext/>
      </w:pPr>
      <w:r>
        <w:t>3.4 Rationale for an integrated cotton, oilseed and food model</w:t>
      </w:r>
    </w:p>
    <w:p>
      <w:pPr>
        <w:pStyle w:val="BodyText"/>
      </w:pPr>
      <w:r>
        <w:t>The proposal deliberately avoids a cotton-only model. Farmers will be trained to produce cotton within diversified farming systems that include approved renewable-oil crops and food crops. Cottonseed will be assessed for oil extraction and industrial energy use, while cotton cake and other by-products will be managed according to applicable food, feed and safety requirements. Fruit and vegetable production will strengthen household nutrition, reduce food expenditure and create local market opportunities. Crop combinations will be based on agronomic suitability, water availability, pest-management considerations and county-specific recommendations.</w:t>
      </w:r>
    </w:p>
    <w:p>
      <w:pPr>
        <w:pStyle w:val="Heading1"/>
        <w:keepNext/>
      </w:pPr>
      <w:r>
        <w:t>4. Goal, Objectives and Expected Outcomes</w:t>
      </w:r>
    </w:p>
    <w:p>
      <w:pPr>
        <w:pStyle w:val="BodyText"/>
      </w:pPr>
      <w:r>
        <w:t>Goal: To improve market integration, competitiveness and inclusive growth for smallholder producers and SMEs in Kenya’s regenerative cotton, renewable-oilseed and associated food-value chains by establishing shared aggregation, quality-assurance, traceability and transaction infrastructure linked to structured domestic, Dutch and wider European Union buyers.</w:t>
      </w:r>
    </w:p>
    <w:p>
      <w:pPr>
        <w:pStyle w:val="Heading2"/>
        <w:keepNext/>
      </w:pPr>
      <w:r>
        <w:t>4.1 Specific objectives</w:t>
      </w:r>
    </w:p>
    <w:p>
      <w:pPr>
        <w:pStyle w:val="ListNumber"/>
      </w:pPr>
      <w:r>
        <w:t>Organise producers and SMEs into commercially functional clusters with transparent governance, contracts and transaction procedures.</w:t>
      </w:r>
    </w:p>
    <w:p>
      <w:pPr>
        <w:pStyle w:val="ListNumber"/>
      </w:pPr>
      <w:r>
        <w:t>Establish shared standards, internal control systems, quality assurance and certification readiness for regenerative cotton and renewable-oil feedstocks.</w:t>
      </w:r>
    </w:p>
    <w:p>
      <w:pPr>
        <w:pStyle w:val="ListNumber"/>
      </w:pPr>
      <w:r>
        <w:t>Develop and operationalise a secure digital platform covering registration, traceability, quality records, transactions, payments and buyer due diligence.</w:t>
      </w:r>
    </w:p>
    <w:p>
      <w:r>
        <w:t>Deploy a permissioned blockchain trust layer using standards-based events, digital signatures, verifiable credentials, multi-party endorsement and human-approved smart-contract workflows while keeping sensitive records off-chain.</w:t>
      </w:r>
    </w:p>
    <w:p>
      <w:pPr>
        <w:pStyle w:val="ListNumber"/>
      </w:pPr>
      <w:r>
        <w:t>Validate diversified cotton, oilseed and food-production models and connect them to processing and structured market demand.</w:t>
      </w:r>
    </w:p>
    <w:p>
      <w:pPr>
        <w:pStyle w:val="ListNumber"/>
      </w:pPr>
      <w:r>
        <w:t>Increase participation and economic benefits for women, youth and marginalised groups.</w:t>
      </w:r>
    </w:p>
    <w:p>
      <w:pPr>
        <w:pStyle w:val="ListNumber"/>
      </w:pPr>
      <w:r>
        <w:t>Create a scalable public-private model that can be replicated in other Kenyan counties and later adapted for Tanzania and Uganda.</w:t>
      </w:r>
    </w:p>
    <w:p>
      <w:pPr>
        <w:pStyle w:val="Heading2"/>
        <w:keepNext/>
      </w:pPr>
      <w:r>
        <w:t>4.2 Expected outcomes</w:t>
      </w:r>
    </w:p>
    <w:tbl>
      <w:tblPr>
        <w:tblStyle w:val="TableGrid"/>
        <w:tblW w:type="auto" w:w="0"/>
        <w:jc w:val="center"/>
        <w:tblLook w:firstColumn="1" w:firstRow="1" w:lastColumn="0" w:lastRow="0" w:noHBand="0" w:noVBand="1" w:val="04A0"/>
      </w:tblPr>
      <w:tblGrid>
        <w:gridCol w:w="5040"/>
        <w:gridCol w:w="5040"/>
      </w:tblGrid>
      <w:tr>
        <w:trPr>
          <w:tblHeader w:val="true"/>
          <w:tblHeader w:val="true"/>
        </w:trPr>
        <w:tc>
          <w:tcPr>
            <w:tcW w:type="dxa" w:w="4464"/>
            <w:shd w:fill="17375E"/>
            <w:vAlign w:val="center"/>
            <w:tcMar>
              <w:top w:w="45" w:type="dxa"/>
              <w:start w:w="45" w:type="dxa"/>
              <w:bottom w:w="45" w:type="dxa"/>
              <w:end w:w="45" w:type="dxa"/>
            </w:tcMar>
          </w:tcPr>
          <w:p>
            <w:r>
              <w:rPr>
                <w:rFonts w:ascii="Aptos" w:hAnsi="Aptos"/>
                <w:b/>
                <w:color w:val="FFFFFF"/>
                <w:sz w:val="14"/>
              </w:rPr>
              <w:t>Outcome</w:t>
            </w:r>
          </w:p>
        </w:tc>
        <w:tc>
          <w:tcPr>
            <w:tcW w:type="dxa" w:w="6048"/>
            <w:shd w:fill="17375E"/>
            <w:vAlign w:val="center"/>
            <w:tcMar>
              <w:top w:w="45" w:type="dxa"/>
              <w:start w:w="45" w:type="dxa"/>
              <w:bottom w:w="45" w:type="dxa"/>
              <w:end w:w="45" w:type="dxa"/>
            </w:tcMar>
          </w:tcPr>
          <w:p>
            <w:r>
              <w:rPr>
                <w:rFonts w:ascii="Aptos" w:hAnsi="Aptos"/>
                <w:b/>
                <w:color w:val="FFFFFF"/>
                <w:sz w:val="14"/>
              </w:rPr>
              <w:t>End-of-programme target</w:t>
            </w:r>
          </w:p>
        </w:tc>
      </w:tr>
      <w:tr>
        <w:trPr>
          <w:cantSplit/>
        </w:trPr>
        <w:tc>
          <w:tcPr>
            <w:tcW w:type="dxa" w:w="4464"/>
            <w:tcMar>
              <w:top w:w="45" w:type="dxa"/>
              <w:start w:w="45" w:type="dxa"/>
              <w:bottom w:w="45" w:type="dxa"/>
              <w:end w:w="45" w:type="dxa"/>
            </w:tcMar>
            <w:vAlign w:val="center"/>
          </w:tcPr>
          <w:p>
            <w:r>
              <w:rPr>
                <w:rFonts w:ascii="Aptos" w:hAnsi="Aptos"/>
                <w:sz w:val="14"/>
              </w:rPr>
              <w:t>Outcome 1: Functional aggregation and SME linkages</w:t>
            </w:r>
          </w:p>
        </w:tc>
        <w:tc>
          <w:tcPr>
            <w:tcW w:type="dxa" w:w="6048"/>
            <w:tcMar>
              <w:top w:w="45" w:type="dxa"/>
              <w:start w:w="45" w:type="dxa"/>
              <w:bottom w:w="45" w:type="dxa"/>
              <w:end w:w="45" w:type="dxa"/>
            </w:tcMar>
            <w:vAlign w:val="center"/>
          </w:tcPr>
          <w:p>
            <w:r>
              <w:rPr>
                <w:rFonts w:ascii="Aptos" w:hAnsi="Aptos"/>
                <w:sz w:val="14"/>
              </w:rPr>
              <w:t>Infrastructure and service capacity aligned to the conditional Labl Farms active-farmer pathway: 4,000 in 2027, 8,000 in 2028, 16,000 in 2029 and 32,000 in 2030; at least 120 SMEs and 12 clusters commercially linked, with unique-person and unique-source reconciliation.</w:t>
            </w:r>
          </w:p>
        </w:tc>
      </w:tr>
      <w:tr>
        <w:trPr>
          <w:cantSplit/>
        </w:trPr>
        <w:tc>
          <w:tcPr>
            <w:tcW w:type="dxa" w:w="4464"/>
            <w:tcMar>
              <w:top w:w="45" w:type="dxa"/>
              <w:start w:w="45" w:type="dxa"/>
              <w:bottom w:w="45" w:type="dxa"/>
              <w:end w:w="45" w:type="dxa"/>
            </w:tcMar>
            <w:vAlign w:val="center"/>
            <w:shd w:fill="F7F9FB"/>
          </w:tcPr>
          <w:p>
            <w:r>
              <w:rPr>
                <w:rFonts w:ascii="Aptos" w:hAnsi="Aptos"/>
                <w:sz w:val="14"/>
              </w:rPr>
              <w:t>Outcome 2: Standards and QA</w:t>
            </w:r>
          </w:p>
        </w:tc>
        <w:tc>
          <w:tcPr>
            <w:tcW w:type="dxa" w:w="6048"/>
            <w:tcMar>
              <w:top w:w="45" w:type="dxa"/>
              <w:start w:w="45" w:type="dxa"/>
              <w:bottom w:w="45" w:type="dxa"/>
              <w:end w:w="45" w:type="dxa"/>
            </w:tcMar>
            <w:vAlign w:val="center"/>
            <w:shd w:fill="F7F9FB"/>
          </w:tcPr>
          <w:p>
            <w:r>
              <w:rPr>
                <w:rFonts w:ascii="Aptos" w:hAnsi="Aptos"/>
                <w:sz w:val="14"/>
              </w:rPr>
              <w:t>Two quality-management/internal-control systems operational; at least 3,500 initial producers meeting minimum requirements and a scale plan tied to annual active-farmer gates.</w:t>
            </w:r>
          </w:p>
        </w:tc>
      </w:tr>
      <w:tr>
        <w:trPr>
          <w:cantSplit/>
        </w:trPr>
        <w:tc>
          <w:tcPr>
            <w:tcW w:type="dxa" w:w="4464"/>
            <w:tcMar>
              <w:top w:w="45" w:type="dxa"/>
              <w:start w:w="45" w:type="dxa"/>
              <w:bottom w:w="45" w:type="dxa"/>
              <w:end w:w="45" w:type="dxa"/>
            </w:tcMar>
            <w:vAlign w:val="center"/>
          </w:tcPr>
          <w:p>
            <w:r>
              <w:rPr>
                <w:rFonts w:ascii="Aptos" w:hAnsi="Aptos"/>
                <w:sz w:val="14"/>
              </w:rPr>
              <w:t>Outcome 3: Digital market infrastructure</w:t>
            </w:r>
          </w:p>
        </w:tc>
        <w:tc>
          <w:tcPr>
            <w:tcW w:type="dxa" w:w="6048"/>
            <w:tcMar>
              <w:top w:w="45" w:type="dxa"/>
              <w:start w:w="45" w:type="dxa"/>
              <w:bottom w:w="45" w:type="dxa"/>
              <w:end w:w="45" w:type="dxa"/>
            </w:tcMar>
            <w:vAlign w:val="center"/>
          </w:tcPr>
          <w:p>
            <w:r>
              <w:rPr>
                <w:rFonts w:ascii="Aptos" w:hAnsi="Aptos"/>
                <w:sz w:val="14"/>
              </w:rPr>
              <w:t>One deployed modular platform with GIS, traceability, payments, weather, AI and permissioned-blockchain proof from registered source to processing, product, settlement and circular return where applicable.</w:t>
            </w:r>
          </w:p>
        </w:tc>
      </w:tr>
      <w:tr>
        <w:trPr>
          <w:cantSplit/>
        </w:trPr>
        <w:tc>
          <w:tcPr>
            <w:tcW w:type="dxa" w:w="4464"/>
            <w:tcMar>
              <w:top w:w="45" w:type="dxa"/>
              <w:start w:w="45" w:type="dxa"/>
              <w:bottom w:w="45" w:type="dxa"/>
              <w:end w:w="45" w:type="dxa"/>
            </w:tcMar>
            <w:vAlign w:val="center"/>
            <w:shd w:fill="F7F9FB"/>
          </w:tcPr>
          <w:p>
            <w:r>
              <w:rPr>
                <w:rFonts w:ascii="Aptos" w:hAnsi="Aptos"/>
                <w:sz w:val="14"/>
              </w:rPr>
              <w:t>Outcome 4: Commercial transactions</w:t>
            </w:r>
          </w:p>
        </w:tc>
        <w:tc>
          <w:tcPr>
            <w:tcW w:type="dxa" w:w="6048"/>
            <w:tcMar>
              <w:top w:w="45" w:type="dxa"/>
              <w:start w:w="45" w:type="dxa"/>
              <w:bottom w:w="45" w:type="dxa"/>
              <w:end w:w="45" w:type="dxa"/>
            </w:tcMar>
            <w:vAlign w:val="center"/>
            <w:shd w:fill="F7F9FB"/>
          </w:tcPr>
          <w:p>
            <w:r>
              <w:rPr>
                <w:rFonts w:ascii="Aptos" w:hAnsi="Aptos"/>
                <w:sz w:val="14"/>
              </w:rPr>
              <w:t>At least six structured supply agreements, four completed export or cross-border transaction cycles, KES 250 million cumulative facilitated transactions and measurable payment and net-benefit improvement, subject to baseline verification.</w:t>
            </w:r>
          </w:p>
        </w:tc>
      </w:tr>
      <w:tr>
        <w:trPr>
          <w:cantSplit/>
        </w:trPr>
        <w:tc>
          <w:tcPr>
            <w:tcW w:type="dxa" w:w="4464"/>
            <w:tcMar>
              <w:top w:w="45" w:type="dxa"/>
              <w:start w:w="45" w:type="dxa"/>
              <w:bottom w:w="45" w:type="dxa"/>
              <w:end w:w="45" w:type="dxa"/>
            </w:tcMar>
            <w:vAlign w:val="center"/>
          </w:tcPr>
          <w:p>
            <w:r>
              <w:rPr>
                <w:rFonts w:ascii="Aptos" w:hAnsi="Aptos"/>
                <w:sz w:val="14"/>
              </w:rPr>
              <w:t>Outcome 5: Inclusive benefits</w:t>
            </w:r>
          </w:p>
        </w:tc>
        <w:tc>
          <w:tcPr>
            <w:tcW w:type="dxa" w:w="6048"/>
            <w:tcMar>
              <w:top w:w="45" w:type="dxa"/>
              <w:start w:w="45" w:type="dxa"/>
              <w:bottom w:w="45" w:type="dxa"/>
              <w:end w:w="45" w:type="dxa"/>
            </w:tcMar>
            <w:vAlign w:val="center"/>
          </w:tcPr>
          <w:p>
            <w:r>
              <w:rPr>
                <w:rFonts w:ascii="Aptos" w:hAnsi="Aptos"/>
                <w:sz w:val="14"/>
              </w:rPr>
              <w:t>At least 50% women and 35% youth among direct farmer beneficiaries; at least 25 women- or youth-led service enterprises; direct individual registration and payment where applicable.</w:t>
            </w:r>
          </w:p>
        </w:tc>
      </w:tr>
      <w:tr>
        <w:trPr>
          <w:cantSplit/>
        </w:trPr>
        <w:tc>
          <w:tcPr>
            <w:tcW w:type="dxa" w:w="4464"/>
            <w:tcMar>
              <w:top w:w="45" w:type="dxa"/>
              <w:start w:w="45" w:type="dxa"/>
              <w:bottom w:w="45" w:type="dxa"/>
              <w:end w:w="45" w:type="dxa"/>
            </w:tcMar>
            <w:vAlign w:val="center"/>
            <w:shd w:fill="F7F9FB"/>
          </w:tcPr>
          <w:p>
            <w:r>
              <w:rPr>
                <w:rFonts w:ascii="Aptos" w:hAnsi="Aptos"/>
                <w:sz w:val="14"/>
              </w:rPr>
              <w:t>Outcome 6: Replication readiness</w:t>
            </w:r>
          </w:p>
        </w:tc>
        <w:tc>
          <w:tcPr>
            <w:tcW w:type="dxa" w:w="6048"/>
            <w:tcMar>
              <w:top w:w="45" w:type="dxa"/>
              <w:start w:w="45" w:type="dxa"/>
              <w:bottom w:w="45" w:type="dxa"/>
              <w:end w:w="45" w:type="dxa"/>
            </w:tcMar>
            <w:vAlign w:val="center"/>
            <w:shd w:fill="F7F9FB"/>
          </w:tcPr>
          <w:p>
            <w:r>
              <w:rPr>
                <w:rFonts w:ascii="Aptos" w:hAnsi="Aptos"/>
                <w:sz w:val="14"/>
              </w:rPr>
              <w:t>Documented model, cost structure, operating manuals and replication packages adopted or endorsed by partners.</w:t>
            </w:r>
          </w:p>
        </w:tc>
      </w:tr>
    </w:tbl>
    <w:p>
      <w:pPr>
        <w:spacing w:after="0"/>
      </w:pPr>
    </w:p>
    <w:p>
      <w:pPr>
        <w:pStyle w:val="Heading1"/>
        <w:keepNext/>
      </w:pPr>
      <w:r>
        <w:t>5. Theory of Change and Intervention Strategy</w:t>
      </w:r>
    </w:p>
    <w:p>
      <w:pPr>
        <w:pStyle w:val="BodyText"/>
      </w:pPr>
      <w:r>
        <w:t>If farmers and SMEs are organised around credible demand; if they use common production, quality and traceability standards; if their records are captured in a secure transaction platform; if cotton is integrated with complementary oilseed and food production; and if anchor buyers, public institutions and regulators coordinate around the same market pathway, then market-entry costs and buyer risk will fall. This will lead to more reliable supply, higher-value transactions, better farmer and SME incomes, greater investment and a replicable Kenya-to-European Union market system.</w:t>
      </w:r>
    </w:p>
    <w:p>
      <w:pPr>
        <w:pStyle w:val="Heading2"/>
        <w:keepNext/>
      </w:pPr>
      <w:r>
        <w:t>5.1 Intervention principles</w:t>
      </w:r>
    </w:p>
    <w:p>
      <w:r>
        <w:t>Trust must be layered: operational databases remain authoritative, standards make events interoperable, and permissioned blockchain makes selected cross-party proofs tamper-evident.</w:t>
      </w:r>
    </w:p>
    <w:p>
      <w:pPr>
        <w:pStyle w:val="ListBullet"/>
      </w:pPr>
      <w:r>
        <w:t>Demand-led production: production targets will be based on buyer specifications and realistic off-take pathways.</w:t>
      </w:r>
    </w:p>
    <w:p>
      <w:pPr>
        <w:pStyle w:val="ListBullet"/>
      </w:pPr>
      <w:r>
        <w:t>Open infrastructure: common standards and platform services will not be exclusive to one buyer.</w:t>
      </w:r>
    </w:p>
    <w:p>
      <w:pPr>
        <w:pStyle w:val="ListBullet"/>
      </w:pPr>
      <w:r>
        <w:t>Diversification: cotton income will be complemented by cottonseed utilisation, approved oilseed crops, vegetables and fruits.</w:t>
      </w:r>
    </w:p>
    <w:p>
      <w:pPr>
        <w:pStyle w:val="ListBullet"/>
      </w:pPr>
      <w:r>
        <w:t>Commercial sustainability: grant support will build shared infrastructure rather than subsidise routine commodity purchases.</w:t>
      </w:r>
    </w:p>
    <w:p>
      <w:pPr>
        <w:pStyle w:val="ListBullet"/>
      </w:pPr>
      <w:r>
        <w:t>Inclusion by design: women and youth will be registered, paid and represented directly.</w:t>
      </w:r>
    </w:p>
    <w:p>
      <w:pPr>
        <w:pStyle w:val="ListBullet"/>
      </w:pPr>
      <w:r>
        <w:t>Compliance first: environmental, energy, plant-health, labour, safety, data-protection and product standards will be embedded before scale.</w:t>
      </w:r>
    </w:p>
    <w:p>
      <w:pPr>
        <w:pStyle w:val="Heading2"/>
      </w:pPr>
      <w:r>
        <w:t>5.2 Additionality and Complementarity</w:t>
      </w:r>
    </w:p>
    <w:p>
      <w:pPr>
        <w:pStyle w:val="BodyText"/>
      </w:pPr>
      <w:r>
        <w:t>AfriEuro Links addresses a coordination failure that commercial investment and existing public programmes cannot resolve alone. Government programmes support seed distribution, extension, cooperative development and processing capacity, while digital platforms provide farmer information, finance and selected market services. None of the identified initiatives combines diversified cotton-oilseed production, household food security, open SME aggregation, common quality assurance, farm-to-buyer traceability, transaction execution, Dutch and wider EU market linkage and a pathway to investment in Taita Taveta and Kilifi. Existing cotton-revival efforts understandably concentrate on acreage, seed and ginning throughput; energy initiatives focus on feedstock; and general digital platforms serve a broad farmer base. AfriEuro Links connects these agendas at farm, SME, processor and buyer levels so that cotton fibre, cottonseed, complementary oilseeds and food crops reinforce rather than compete with one another.</w:t>
      </w:r>
    </w:p>
    <w:tbl>
      <w:tblPr>
        <w:tblStyle w:val="TableGrid"/>
        <w:tblW w:type="dxa" w:w="9144"/>
        <w:jc w:val="center"/>
        <w:tblLayout w:type="fixed"/>
        <w:tblLook w:firstColumn="1" w:firstRow="1" w:lastColumn="0" w:lastRow="0" w:noHBand="0" w:noVBand="1" w:val="04A0"/>
        <w:tblInd w:w="0" w:type="dxa"/>
      </w:tblPr>
      <w:tblGrid>
        <w:gridCol w:w="9144"/>
      </w:tblGrid>
      <w:tr>
        <w:tc>
          <w:tcPr>
            <w:tcW w:type="dxa" w:w="9144"/>
            <w:shd w:fill="D9EAF7"/>
            <w:vAlign w:val="center"/>
            <w:tcMar>
              <w:top w:w="65" w:type="dxa"/>
              <w:start w:w="70" w:type="dxa"/>
              <w:bottom w:w="65" w:type="dxa"/>
              <w:end w:w="70" w:type="dxa"/>
            </w:tcMar>
          </w:tcPr>
          <w:p>
            <w:r>
              <w:t>INFORMATION NOTE - ADDITIONALITY TEST: The grant is not requested to subsidise routine commodity purchases or proprietary company operations. It finances time-bound, open market infrastructure that no single farmer, SME, buyer, county or company has the incentive or capacity to build alone: cluster governance, shared standards, internal controls, testing, traceability, commercial validation, food-security safeguards, inclusion systems and reusable transaction protocols.</w:t>
            </w:r>
          </w:p>
        </w:tc>
      </w:tr>
    </w:tbl>
    <w:p>
      <w:pPr>
        <w:pStyle w:val="Heading3"/>
      </w:pPr>
      <w:r>
        <w:t>5.2.1 Overview of Existing Initiatives and Project Additionality</w:t>
      </w:r>
    </w:p>
    <w:tbl>
      <w:tblPr>
        <w:tblStyle w:val="TableGrid"/>
        <w:tblW w:type="dxa" w:w="9144"/>
        <w:jc w:val="center"/>
        <w:tblLayout w:type="fixed"/>
        <w:tblLook w:firstColumn="1" w:firstRow="1" w:lastColumn="0" w:lastRow="0" w:noHBand="0" w:noVBand="1" w:val="04A0"/>
        <w:tblInd w:w="0" w:type="dxa"/>
      </w:tblPr>
      <w:tblGrid>
        <w:gridCol w:w="2520"/>
        <w:gridCol w:w="2808"/>
        <w:gridCol w:w="3816"/>
      </w:tblGrid>
      <w:tr>
        <w:trPr>
          <w:tblHeader w:val="true"/>
        </w:trPr>
        <w:tc>
          <w:tcPr>
            <w:tcW w:type="dxa" w:w="2520"/>
            <w:vAlign w:val="center"/>
            <w:tcMar>
              <w:top w:w="65" w:type="dxa"/>
              <w:start w:w="70" w:type="dxa"/>
              <w:bottom w:w="65" w:type="dxa"/>
              <w:end w:w="70" w:type="dxa"/>
            </w:tcMar>
            <w:shd w:fill="1F4E78"/>
          </w:tcPr>
          <w:p>
            <w:r>
              <w:t>Existing initiative</w:t>
            </w:r>
          </w:p>
        </w:tc>
        <w:tc>
          <w:tcPr>
            <w:tcW w:type="dxa" w:w="2808"/>
            <w:vAlign w:val="center"/>
            <w:tcMar>
              <w:top w:w="65" w:type="dxa"/>
              <w:start w:w="70" w:type="dxa"/>
              <w:bottom w:w="65" w:type="dxa"/>
              <w:end w:w="70" w:type="dxa"/>
            </w:tcMar>
            <w:shd w:fill="1F4E78"/>
          </w:tcPr>
          <w:p>
            <w:r>
              <w:t>Existing contribution</w:t>
            </w:r>
          </w:p>
        </w:tc>
        <w:tc>
          <w:tcPr>
            <w:tcW w:type="dxa" w:w="3816"/>
            <w:vAlign w:val="center"/>
            <w:tcMar>
              <w:top w:w="65" w:type="dxa"/>
              <w:start w:w="70" w:type="dxa"/>
              <w:bottom w:w="65" w:type="dxa"/>
              <w:end w:w="70" w:type="dxa"/>
            </w:tcMar>
            <w:shd w:fill="1F4E78"/>
          </w:tcPr>
          <w:p>
            <w:r>
              <w:t>AfriEuro Links additionality and synergy</w:t>
            </w:r>
          </w:p>
        </w:tc>
      </w:tr>
      <w:tr>
        <w:trPr>
          <w:cantSplit/>
        </w:trPr>
        <w:tc>
          <w:tcPr>
            <w:tcW w:type="dxa" w:w="2520"/>
            <w:vAlign w:val="center"/>
            <w:tcMar>
              <w:top w:w="65" w:type="dxa"/>
              <w:start w:w="70" w:type="dxa"/>
              <w:bottom w:w="65" w:type="dxa"/>
              <w:end w:w="70" w:type="dxa"/>
            </w:tcMar>
          </w:tcPr>
          <w:p>
            <w:r>
              <w:t>National Cotton Revival and Bt Cotton Commercialisation Programme</w:t>
            </w:r>
          </w:p>
        </w:tc>
        <w:tc>
          <w:tcPr>
            <w:tcW w:type="dxa" w:w="2808"/>
            <w:vAlign w:val="center"/>
            <w:tcMar>
              <w:top w:w="65" w:type="dxa"/>
              <w:start w:w="70" w:type="dxa"/>
              <w:bottom w:w="65" w:type="dxa"/>
              <w:end w:w="70" w:type="dxa"/>
            </w:tcMar>
          </w:tcPr>
          <w:p>
            <w:r>
              <w:t>Commercialisation of Bt cotton was approved in 2019; demonstration farms, seed distribution and farmer training have sought to increase production and revive the cotton-textile value chain. [IN-4]</w:t>
            </w:r>
          </w:p>
        </w:tc>
        <w:tc>
          <w:tcPr>
            <w:tcW w:type="dxa" w:w="3816"/>
            <w:vAlign w:val="center"/>
            <w:tcMar>
              <w:top w:w="65" w:type="dxa"/>
              <w:start w:w="70" w:type="dxa"/>
              <w:bottom w:w="65" w:type="dxa"/>
              <w:end w:w="70" w:type="dxa"/>
            </w:tcMar>
          </w:tcPr>
          <w:p>
            <w:r>
              <w:t>The project will not duplicate seed promotion. It adds demand-led aggregation contracts, regenerative and buyer-specific standards, lot-level traceability, SME participation, apparel linkage, cottonseed utilisation, diversified food production and Dutch/EU off-take development.</w:t>
            </w:r>
          </w:p>
        </w:tc>
      </w:tr>
      <w:tr>
        <w:trPr>
          <w:cantSplit/>
        </w:trPr>
        <w:tc>
          <w:tcPr>
            <w:tcW w:type="dxa" w:w="2520"/>
            <w:vAlign w:val="center"/>
            <w:tcMar>
              <w:top w:w="65" w:type="dxa"/>
              <w:start w:w="70" w:type="dxa"/>
              <w:bottom w:w="65" w:type="dxa"/>
              <w:end w:w="70" w:type="dxa"/>
            </w:tcMar>
          </w:tcPr>
          <w:p>
            <w:r>
              <w:t>New coastal cotton ginneries in Kwale and Lamu</w:t>
            </w:r>
          </w:p>
        </w:tc>
        <w:tc>
          <w:tcPr>
            <w:tcW w:type="dxa" w:w="2808"/>
            <w:vAlign w:val="center"/>
            <w:tcMar>
              <w:top w:w="65" w:type="dxa"/>
              <w:start w:w="70" w:type="dxa"/>
              <w:bottom w:w="65" w:type="dxa"/>
              <w:end w:w="70" w:type="dxa"/>
            </w:tcMar>
          </w:tcPr>
          <w:p>
            <w:r>
              <w:t>The ginneries reduce distance and transport cost for farmers in Kwale, Kilifi, Lamu and Taita Taveta and provide essential processing capacity. [IN-5]</w:t>
            </w:r>
          </w:p>
        </w:tc>
        <w:tc>
          <w:tcPr>
            <w:tcW w:type="dxa" w:w="3816"/>
            <w:vAlign w:val="center"/>
            <w:tcMar>
              <w:top w:w="65" w:type="dxa"/>
              <w:start w:w="70" w:type="dxa"/>
              <w:bottom w:w="65" w:type="dxa"/>
              <w:end w:w="70" w:type="dxa"/>
            </w:tcMar>
          </w:tcPr>
          <w:p>
            <w:r>
              <w:t>AfriEuro Links will create traceable, quality-assured supply streams that can use existing ginning capacity. It coordinates farms, SMEs, ginning, garment production and buyers rather than financing competing gin capacity.</w:t>
            </w:r>
          </w:p>
        </w:tc>
      </w:tr>
      <w:tr>
        <w:trPr>
          <w:cantSplit/>
        </w:trPr>
        <w:tc>
          <w:tcPr>
            <w:tcW w:type="dxa" w:w="2520"/>
            <w:vAlign w:val="center"/>
            <w:tcMar>
              <w:top w:w="65" w:type="dxa"/>
              <w:start w:w="70" w:type="dxa"/>
              <w:bottom w:w="65" w:type="dxa"/>
              <w:end w:w="70" w:type="dxa"/>
            </w:tcMar>
          </w:tcPr>
          <w:p>
            <w:r>
              <w:t>Safaricom DigiFarm</w:t>
            </w:r>
          </w:p>
        </w:tc>
        <w:tc>
          <w:tcPr>
            <w:tcW w:type="dxa" w:w="2808"/>
            <w:vAlign w:val="center"/>
            <w:tcMar>
              <w:top w:w="65" w:type="dxa"/>
              <w:start w:w="70" w:type="dxa"/>
              <w:bottom w:w="65" w:type="dxa"/>
              <w:end w:w="70" w:type="dxa"/>
            </w:tcMar>
          </w:tcPr>
          <w:p>
            <w:r>
              <w:t>DigiFarm provides digital farmer profiles and access to agronomic information, inputs, finance and market services. [IN-6]</w:t>
            </w:r>
          </w:p>
        </w:tc>
        <w:tc>
          <w:tcPr>
            <w:tcW w:type="dxa" w:w="3816"/>
            <w:vAlign w:val="center"/>
            <w:tcMar>
              <w:top w:w="65" w:type="dxa"/>
              <w:start w:w="70" w:type="dxa"/>
              <w:bottom w:w="65" w:type="dxa"/>
              <w:end w:w="70" w:type="dxa"/>
            </w:tcMar>
          </w:tcPr>
          <w:p>
            <w:r>
              <w:t>The project will link or interoperate where practical, but will specialise in buyer-specific chain of custody, batch and quality records, contracts, export documentation, multi-stage processing traceability and project grant controls.</w:t>
            </w:r>
          </w:p>
        </w:tc>
      </w:tr>
      <w:tr>
        <w:trPr>
          <w:cantSplit/>
        </w:trPr>
        <w:tc>
          <w:tcPr>
            <w:tcW w:type="dxa" w:w="2520"/>
            <w:vAlign w:val="center"/>
            <w:tcMar>
              <w:top w:w="65" w:type="dxa"/>
              <w:start w:w="70" w:type="dxa"/>
              <w:bottom w:w="65" w:type="dxa"/>
              <w:end w:w="70" w:type="dxa"/>
            </w:tcMar>
          </w:tcPr>
          <w:p>
            <w:r>
              <w:t>Kilifi cooperative-model agriculture and Taita Taveta extension programmes</w:t>
            </w:r>
          </w:p>
        </w:tc>
        <w:tc>
          <w:tcPr>
            <w:tcW w:type="dxa" w:w="2808"/>
            <w:vAlign w:val="center"/>
            <w:tcMar>
              <w:top w:w="65" w:type="dxa"/>
              <w:start w:w="70" w:type="dxa"/>
              <w:bottom w:w="65" w:type="dxa"/>
              <w:end w:w="70" w:type="dxa"/>
            </w:tcMar>
          </w:tcPr>
          <w:p>
            <w:r>
              <w:t>County programmes mobilise farmers, support cooperatives, distribute inputs, provide extension and coordinate local development. [IN-7]</w:t>
            </w:r>
          </w:p>
        </w:tc>
        <w:tc>
          <w:tcPr>
            <w:tcW w:type="dxa" w:w="3816"/>
            <w:vAlign w:val="center"/>
            <w:tcMar>
              <w:top w:w="65" w:type="dxa"/>
              <w:start w:w="70" w:type="dxa"/>
              <w:bottom w:w="65" w:type="dxa"/>
              <w:end w:w="70" w:type="dxa"/>
            </w:tcMar>
          </w:tcPr>
          <w:p>
            <w:r>
              <w:t>AfriEuro Links will use county systems rather than create parallel public structures. It adds buyer agreements, SME service markets, shared QA, digital traceability, community-grant controls and structured domestic and EU transactions.</w:t>
            </w:r>
          </w:p>
        </w:tc>
      </w:tr>
    </w:tbl>
    <w:p>
      <w:pPr>
        <w:pStyle w:val="Heading3"/>
      </w:pPr>
      <w:r>
        <w:t>5.2.2 Grant Necessity and Counterfactual</w:t>
      </w:r>
    </w:p>
    <w:p>
      <w:pPr>
        <w:pStyle w:val="BodyText"/>
      </w:pPr>
      <w:r>
        <w:t>Grant finance is necessary because the core assets are shared market infrastructure. Individual farmers cannot finance certification, laboratory testing or digital traceability; SMEs cannot recover the full cost of an open platform during market creation; county governments can mobilise producers but cannot assume off-take risk or build EU buyer networks; and no single buyer will finance non-exclusive infrastructure that can serve other firms. Nor would one commercial actor normally finance household vegetable and fruit training whose benefits accrue across nutrition, resilience and local markets. The grant makes it possible to design these functions as one interoperable system rather than several disconnected projects.</w:t>
      </w:r>
    </w:p>
    <w:p>
      <w:pPr>
        <w:pStyle w:val="BodyText"/>
      </w:pPr>
      <w:r>
        <w:t>Without support, the Sagalla and Mavueni pilots would remain small, services would remain fragmented and buyer verification risk would remain high. With support, the consortium can reach transaction scale, lower unit costs, validate several income streams and mobilise private finance. The grant will fund cluster formation, common standards, traceability, commercial validation, diversified livelihood training, inclusion and learning. It will not fund permanent price subsidies, routine commodity purchases, profit distributions or unrelated company expenditure. For-profit partners will work at non-commercial rates, maintain separate project accounts and contribute facilities, personnel, buyer relationships and technical capability.</w:t>
      </w:r>
    </w:p>
    <w:p>
      <w:pPr>
        <w:pStyle w:val="BodyText"/>
      </w:pPr>
      <w:r>
        <w:t>Additionality also lies in demonstrating that cotton revival need not recreate cotton dependency. Traceable fibre, cottonseed and complementary renewable-oil feedstocks can be developed alongside vegetables and fruits within one farmer-centred market model. Non-proprietary standards, intercropping lessons, food-security safeguards, contract templates and transaction protocols will be available for qualified use by other counties and market actors.</w:t>
      </w:r>
    </w:p>
    <w:p>
      <w:pPr>
        <w:pStyle w:val="Heading2"/>
      </w:pPr>
      <w:r>
        <w:t>5.3 Systemic Change and Replication Logic</w:t>
      </w:r>
    </w:p>
    <w:p>
      <w:pPr>
        <w:pStyle w:val="BodyText"/>
      </w:pPr>
      <w:r>
        <w:t>AfriEuro Links is a market-system intervention, not a closed sourcing project. Common standards replace inconsistent specifications; digital records replace unverifiable claims; aggregation replaces isolated selling; diversified cotton, oilseed and food production reduces single-crop exposure; and repeat contracts replace opportunistic transactions. The platform, manuals, contract templates, grant controls and cluster procedures will be reusable by qualified participants in additional locations.</w:t>
      </w:r>
    </w:p>
    <w:p>
      <w:pPr>
        <w:pStyle w:val="BodyText"/>
      </w:pPr>
      <w:r>
        <w:t>After validation in Taita Taveta and Kilifi, national replication will prioritise the 21 counties reporting cotton production in the AFA data used by the concept note: Lamu, Meru, Busia, Siaya, Homa Bay, Baringo, Kitui, Tharaka Nithi, Taita Taveta, Kilifi, Makueni, Kisumu, Elgeyo Marakwet, Kwale, Embu, Machakos, Bungoma, Kirinyaga, Migori, Murang'a and Tana River. Renewable-oilseed replication will initially consider Baringo, Makueni, Nakuru, Mombasa and Kilifi, together with other counties only where agronomic, environmental, land-use, food-security and market validation confirms suitability. Expansion will not assume that one crop or intercrop is appropriate everywhere. [IN-2] [IN-8]</w:t>
      </w:r>
    </w:p>
    <w:p>
      <w:pPr>
        <w:pStyle w:val="BodyText"/>
      </w:pPr>
      <w:r>
        <w:t>County governments will embed proven mobilisation, extension and cooperative-support functions in their programmes. The Ministry of Agriculture and Livestock Development will coordinate national crop learning, data and replication; the Ministry of Energy and Petroleum will connect the renewable-oilseed pathway to national biofuel and clean-energy frameworks; the Ministry of Trade, Investments and Industry will support industrial, standards and export linkages; and NEMA and other regulators will be built into the replication protocol. Adaptation in Tanzania and Uganda will follow country-specific regulation, institutions and partnerships.</w:t>
      </w:r>
    </w:p>
    <w:p>
      <w:pPr>
        <w:pStyle w:val="BodyText"/>
      </w:pPr>
      <w:r>
        <w:t>Verified transaction histories can improve lender confidence; predictable volumes can justify storage and processing investment; quality information can reward better production; diversified farm outputs can stabilise household income and nutrition; and multiple buyers can reduce dependence on one off-taker. The systemic outcome is a lower-cost, diversified route through which small enterprises become traceable, quality-assured and investable suppliers across domestic, Dutch, wider EU and regional markets.</w:t>
      </w:r>
    </w:p>
    <w:p>
      <w:pPr>
        <w:pStyle w:val="Heading1"/>
        <w:keepNext/>
      </w:pPr>
      <w:r>
        <w:t>6. Programme Components and Activities</w:t>
      </w:r>
    </w:p>
    <w:p>
      <w:pPr>
        <w:pStyle w:val="Heading2"/>
        <w:keepNext/>
      </w:pPr>
      <w:r>
        <w:t>6.1 Component 1: Inception, Baseline and Market Validation</w:t>
      </w:r>
    </w:p>
    <w:p>
      <w:pPr>
        <w:pStyle w:val="ListBullet"/>
      </w:pPr>
      <w:r>
        <w:t>Conduct inception workshops and formalise consortium and government coordination arrangements.</w:t>
      </w:r>
    </w:p>
    <w:p>
      <w:pPr>
        <w:pStyle w:val="ListBullet"/>
      </w:pPr>
      <w:r>
        <w:t>Complete baseline studies covering farmer profiles, SMEs, production, current income, quality, market channels, gender, youth and environmental conditions.</w:t>
      </w:r>
    </w:p>
    <w:p>
      <w:pPr>
        <w:pStyle w:val="ListBullet"/>
      </w:pPr>
      <w:r>
        <w:t>Validate Kenyan, Dutch and wider European Union buyer specifications, demand volumes, price structures, processing requirements, customs and logistics considerations and commercial pathways.</w:t>
      </w:r>
    </w:p>
    <w:p>
      <w:pPr>
        <w:pStyle w:val="ListBullet"/>
      </w:pPr>
      <w:r>
        <w:t>Prepare county-specific crop-suitability and diversification plans.</w:t>
      </w:r>
    </w:p>
    <w:p>
      <w:pPr>
        <w:pStyle w:val="ListBullet"/>
      </w:pPr>
      <w:r>
        <w:t>Establish the project management, procurement, safeguarding, grievance and M&amp;E systems.</w:t>
      </w:r>
    </w:p>
    <w:p>
      <w:pPr>
        <w:pStyle w:val="Heading2"/>
        <w:keepNext/>
      </w:pPr>
      <w:r>
        <w:t>6.2 Component 2: Community Mobilisation, Registration and Cluster Formation</w:t>
      </w:r>
    </w:p>
    <w:p>
      <w:pPr>
        <w:pStyle w:val="ListBullet"/>
      </w:pPr>
      <w:r>
        <w:t>Map producer groups, cooperatives, SMEs, ginneries, transporters, processors and service providers.</w:t>
      </w:r>
    </w:p>
    <w:p>
      <w:pPr>
        <w:pStyle w:val="ListBullet"/>
      </w:pPr>
      <w:r>
        <w:t>Afribiz Consultancy Limited, as a separate programme partner, will support community registration, identity and enterprise verification, farm mapping, consent capture and beneficiary file preparation through its own approved work plan and contract. Goblis Foundation will separately lead training, safeguarding, inclusion and community-grant support.</w:t>
      </w:r>
    </w:p>
    <w:p>
      <w:pPr>
        <w:pStyle w:val="ListBullet"/>
      </w:pPr>
      <w:r>
        <w:t>Establish or strengthen ten commercially governed aggregation clusters.</w:t>
      </w:r>
    </w:p>
    <w:p>
      <w:pPr>
        <w:pStyle w:val="ListBullet"/>
      </w:pPr>
      <w:r>
        <w:t>Develop governance charters, membership rules, pricing communication, dispute procedures and segregation of duties.</w:t>
      </w:r>
    </w:p>
    <w:p>
      <w:pPr>
        <w:pStyle w:val="ListBullet"/>
      </w:pPr>
      <w:r>
        <w:t>Link suitable community organisations to transparent, milestone-based grant support where approved.</w:t>
      </w:r>
    </w:p>
    <w:p>
      <w:pPr>
        <w:pStyle w:val="Heading2"/>
        <w:keepNext/>
      </w:pPr>
      <w:r>
        <w:t>6.3 Component 3: Agronomy, Diversification and Food Security</w:t>
      </w:r>
    </w:p>
    <w:p>
      <w:pPr>
        <w:pStyle w:val="ListBullet"/>
      </w:pPr>
      <w:r>
        <w:t>Train farmers on regenerative cotton, soil restoration, water management, integrated pest management and safe input use.</w:t>
      </w:r>
    </w:p>
    <w:p>
      <w:pPr>
        <w:pStyle w:val="ListBullet"/>
      </w:pPr>
      <w:r>
        <w:t>Validate intercropping or complementary production of cotton with approved renewable-oil crops, including castor, jatropha, canola and croton where suitable.</w:t>
      </w:r>
    </w:p>
    <w:p>
      <w:pPr>
        <w:pStyle w:val="ListBullet"/>
      </w:pPr>
      <w:r>
        <w:t>Train households in vegetable and fruit production for nutrition, household savings and local-market income.</w:t>
      </w:r>
    </w:p>
    <w:p>
      <w:pPr>
        <w:pStyle w:val="ListBullet"/>
      </w:pPr>
      <w:r>
        <w:t>Demonstrate cottonseed collection, handling and potential oil extraction while observing feed, food, safety and energy standards.</w:t>
      </w:r>
    </w:p>
    <w:p>
      <w:pPr>
        <w:pStyle w:val="ListBullet"/>
      </w:pPr>
      <w:r>
        <w:t>Provide extension materials and train county officers, lead farmers and community facilitators.</w:t>
      </w:r>
    </w:p>
    <w:p>
      <w:pPr>
        <w:pStyle w:val="Heading2"/>
        <w:keepNext/>
      </w:pPr>
      <w:r>
        <w:t>6.4 Component 4: Standardisation, Quality Assurance and Certification Readiness</w:t>
      </w:r>
    </w:p>
    <w:p>
      <w:pPr>
        <w:pStyle w:val="ListBullet"/>
      </w:pPr>
      <w:r>
        <w:t>Develop quality manuals for cotton lint, cottonseed and renewable-oil feedstocks.</w:t>
      </w:r>
    </w:p>
    <w:p>
      <w:pPr>
        <w:pStyle w:val="ListBullet"/>
      </w:pPr>
      <w:r>
        <w:t>Establish farm registration, input-control, harvesting, storage, contamination control, sampling, testing and corrective-action procedures.</w:t>
      </w:r>
    </w:p>
    <w:p>
      <w:pPr>
        <w:pStyle w:val="ListBullet"/>
      </w:pPr>
      <w:r>
        <w:t>Create internal control systems and train inspectors and cluster quality leads.</w:t>
      </w:r>
    </w:p>
    <w:p>
      <w:pPr>
        <w:pStyle w:val="ListBullet"/>
      </w:pPr>
      <w:r>
        <w:t>Undertake laboratory testing and certification gap assessments.</w:t>
      </w:r>
    </w:p>
    <w:p>
      <w:pPr>
        <w:pStyle w:val="ListBullet"/>
      </w:pPr>
      <w:r>
        <w:t>Prepare selected clusters and SMEs for recognised sustainability, organic, regenerative or buyer-specific standards where commercially justified by verified demand; certification will not be pursued as a stand-alone activity without a realistic market pathway.</w:t>
      </w:r>
    </w:p>
    <w:p>
      <w:pPr>
        <w:pStyle w:val="Heading2"/>
        <w:keepNext/>
      </w:pPr>
      <w:r>
        <w:t>6.5 Component 5: Digital Platform Development and Deployment</w:t>
      </w:r>
    </w:p>
    <w:p>
      <w:pPr>
        <w:pStyle w:val="ListBullet"/>
      </w:pPr>
      <w:r>
        <w:t>Afrisol Technologies Limited will lead discovery, requirements validation and solution architecture.</w:t>
      </w:r>
    </w:p>
    <w:p>
      <w:pPr>
        <w:pStyle w:val="ListBullet"/>
      </w:pPr>
      <w:r>
        <w:t>Develop farmer, cooperative, SME, buyer and service-provider registration modules, including assisted and offline registration for farmers and enterprises without smartphones.</w:t>
      </w:r>
    </w:p>
    <w:p>
      <w:pPr>
        <w:pStyle w:val="ListBullet"/>
      </w:pPr>
      <w:r>
        <w:t>Implement georeferenced farm profiles, crop forecasts, batch identification, chain-of-custody, quality results, orders, contracts, deliveries, payments and supplier performance histories. The resulting transaction histories will support due diligence and, where financiers agree, improve readiness for credit, insurance and investment.</w:t>
      </w:r>
    </w:p>
    <w:p>
      <w:pPr>
        <w:pStyle w:val="ListBullet"/>
      </w:pPr>
      <w:r>
        <w:t>Integrate mobile and bank payment references without storing unnecessary sensitive financial data.</w:t>
      </w:r>
    </w:p>
    <w:p>
      <w:pPr>
        <w:pStyle w:val="ListBullet"/>
      </w:pPr>
      <w:r>
        <w:t>Provide dashboards, role-based access, audit logs, consent management, offline field capture, cybersecurity and disaster recovery.</w:t>
      </w:r>
    </w:p>
    <w:p>
      <w:pPr>
        <w:pStyle w:val="ListBullet"/>
      </w:pPr>
      <w:r>
        <w:t>Pilot, test, deploy, train users and provide help-desk and maintenance support.</w:t>
      </w:r>
    </w:p>
    <w:p>
      <w:pPr>
        <w:pStyle w:val="Heading3"/>
      </w:pPr>
      <w:r>
        <w:t>6.5.1 Permissioned blockchain and verifiable-trust workstream</w:t>
      </w:r>
    </w:p>
    <w:p>
      <w:r>
        <w:t>The programme will implement blockchain only where cross-enterprise trust and tamper evidence justify the cost. The baseline is a permissioned consortium network, subject to architecture and procurement. LaDOS and CEOS will send approved event proofs through an integration layer; personal data, detailed contracts, prices, designs, agronomy and process parameters remain off-chain. Smart contracts will implement endorsement and state-transition rules, not replace legal agreements or autonomously release funds.</w:t>
      </w:r>
    </w:p>
    <w:tbl>
      <w:tblPr>
        <w:tblStyle w:val="TableGrid"/>
        <w:tblW w:type="dxa" w:w="5852160"/>
        <w:jc w:val="center"/>
        <w:tblLayout w:type="fixed"/>
        <w:tblLook w:firstColumn="1" w:firstRow="1" w:lastColumn="0" w:lastRow="0" w:noHBand="0" w:noVBand="1" w:val="04A0"/>
      </w:tblPr>
      <w:tblGrid>
        <w:gridCol w:w="1234440"/>
        <w:gridCol w:w="3429000"/>
        <w:gridCol w:w="1188720"/>
      </w:tblGrid>
      <w:tr>
        <w:trPr>
          <w:tblHeader w:val="true"/>
        </w:trPr>
        <w:tc>
          <w:tcPr>
            <w:tcW w:type="dxa" w:w="1234440"/>
            <w:vAlign w:val="center"/>
            <w:tcMar>
              <w:top w:w="45" w:type="dxa"/>
              <w:start w:w="45" w:type="dxa"/>
              <w:bottom w:w="45" w:type="dxa"/>
              <w:end w:w="45" w:type="dxa"/>
            </w:tcMar>
            <w:shd w:fill="17375E"/>
          </w:tcPr>
          <w:p>
            <w:pPr>
              <w:spacing w:before="0" w:after="0"/>
              <w:jc w:val="center"/>
            </w:pPr>
            <w:r>
              <w:rPr>
                <w:rFonts w:ascii="Aptos" w:hAnsi="Aptos"/>
                <w:b/>
                <w:color w:val="FFFFFF"/>
                <w:sz w:val="13"/>
              </w:rPr>
            </w:r>
            <w:r>
              <w:rPr>
                <w:rFonts w:ascii="Aptos" w:hAnsi="Aptos"/>
                <w:b/>
                <w:color w:val="FFFFFF"/>
                <w:sz w:val="13"/>
              </w:rPr>
              <w:t>Use case</w:t>
            </w:r>
          </w:p>
        </w:tc>
        <w:tc>
          <w:tcPr>
            <w:tcW w:type="dxa" w:w="3429000"/>
            <w:vAlign w:val="center"/>
            <w:tcMar>
              <w:top w:w="45" w:type="dxa"/>
              <w:start w:w="45" w:type="dxa"/>
              <w:bottom w:w="45" w:type="dxa"/>
              <w:end w:w="45" w:type="dxa"/>
            </w:tcMar>
            <w:shd w:fill="17375E"/>
          </w:tcPr>
          <w:p>
            <w:pPr>
              <w:spacing w:before="0" w:after="0"/>
              <w:jc w:val="center"/>
            </w:pPr>
            <w:r>
              <w:rPr>
                <w:rFonts w:ascii="Aptos" w:hAnsi="Aptos"/>
                <w:b/>
                <w:color w:val="FFFFFF"/>
                <w:sz w:val="13"/>
              </w:rPr>
            </w:r>
            <w:r>
              <w:rPr>
                <w:rFonts w:ascii="Aptos" w:hAnsi="Aptos"/>
                <w:b/>
                <w:color w:val="FFFFFF"/>
                <w:sz w:val="13"/>
              </w:rPr>
              <w:t>Anchored proof or credential</w:t>
            </w:r>
          </w:p>
        </w:tc>
        <w:tc>
          <w:tcPr>
            <w:tcW w:type="dxa" w:w="1188720"/>
            <w:vAlign w:val="center"/>
            <w:tcMar>
              <w:top w:w="45" w:type="dxa"/>
              <w:start w:w="45" w:type="dxa"/>
              <w:bottom w:w="45" w:type="dxa"/>
              <w:end w:w="45" w:type="dxa"/>
            </w:tcMar>
            <w:shd w:fill="17375E"/>
          </w:tcPr>
          <w:p>
            <w:pPr>
              <w:spacing w:before="0" w:after="0"/>
              <w:jc w:val="center"/>
            </w:pPr>
            <w:r>
              <w:rPr>
                <w:rFonts w:ascii="Aptos" w:hAnsi="Aptos"/>
                <w:b/>
                <w:color w:val="FFFFFF"/>
                <w:sz w:val="13"/>
              </w:rPr>
            </w:r>
            <w:r>
              <w:rPr>
                <w:rFonts w:ascii="Aptos" w:hAnsi="Aptos"/>
                <w:b/>
                <w:color w:val="FFFFFF"/>
                <w:sz w:val="13"/>
              </w:rPr>
              <w:t>Responsible owner</w:t>
            </w:r>
          </w:p>
        </w:tc>
      </w:tr>
      <w:tr>
        <w:trPr>
          <w:cantSplit/>
        </w:trPr>
        <w:tc>
          <w:tcPr>
            <w:tcW w:type="dxa" w:w="123444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Farm and cotton origin</w:t>
            </w:r>
          </w:p>
        </w:tc>
        <w:tc>
          <w:tcPr>
            <w:tcW w:type="dxa" w:w="342900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Consent/version proof, lot creation, aggregation, quality and payment-entitlement event.</w:t>
            </w:r>
          </w:p>
        </w:tc>
        <w:tc>
          <w:tcPr>
            <w:tcW w:type="dxa" w:w="118872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Labl Farms / LaDOS</w:t>
            </w:r>
          </w:p>
        </w:tc>
      </w:tr>
      <w:tr>
        <w:trPr>
          <w:cantSplit/>
        </w:trPr>
        <w:tc>
          <w:tcPr>
            <w:tcW w:type="dxa" w:w="1234440"/>
            <w:vAlign w:val="center"/>
            <w:tcMar>
              <w:top w:w="45" w:type="dxa"/>
              <w:start w:w="45" w:type="dxa"/>
              <w:bottom w:w="45" w:type="dxa"/>
              <w:end w:w="45" w:type="dxa"/>
            </w:tcMar>
            <w:shd w:fill="F7F9FB"/>
          </w:tcPr>
          <w:p>
            <w:pPr>
              <w:spacing w:before="0" w:after="0"/>
              <w:jc w:val="left"/>
            </w:pPr>
            <w:r>
              <w:rPr>
                <w:rFonts w:ascii="Aptos" w:hAnsi="Aptos"/>
                <w:sz w:val="13"/>
              </w:rPr>
            </w:r>
            <w:r>
              <w:rPr>
                <w:rFonts w:ascii="Aptos" w:hAnsi="Aptos"/>
                <w:b w:val="0"/>
                <w:sz w:val="13"/>
              </w:rPr>
              <w:t>Fashion transformation and DPP</w:t>
            </w:r>
          </w:p>
        </w:tc>
        <w:tc>
          <w:tcPr>
            <w:tcW w:type="dxa" w:w="3429000"/>
            <w:vAlign w:val="center"/>
            <w:tcMar>
              <w:top w:w="45" w:type="dxa"/>
              <w:start w:w="45" w:type="dxa"/>
              <w:bottom w:w="45" w:type="dxa"/>
              <w:end w:w="45" w:type="dxa"/>
            </w:tcMar>
            <w:shd w:fill="F7F9FB"/>
          </w:tcPr>
          <w:p>
            <w:pPr>
              <w:spacing w:before="0" w:after="0"/>
              <w:jc w:val="left"/>
            </w:pPr>
            <w:r>
              <w:rPr>
                <w:rFonts w:ascii="Aptos" w:hAnsi="Aptos"/>
                <w:sz w:val="13"/>
              </w:rPr>
            </w:r>
            <w:r>
              <w:rPr>
                <w:rFonts w:ascii="Aptos" w:hAnsi="Aptos"/>
                <w:b w:val="0"/>
                <w:sz w:val="13"/>
              </w:rPr>
              <w:t>Material receipt, transformation, QA release, garment identity and circular-return event.</w:t>
            </w:r>
          </w:p>
        </w:tc>
        <w:tc>
          <w:tcPr>
            <w:tcW w:type="dxa" w:w="1188720"/>
            <w:vAlign w:val="center"/>
            <w:tcMar>
              <w:top w:w="45" w:type="dxa"/>
              <w:start w:w="45" w:type="dxa"/>
              <w:bottom w:w="45" w:type="dxa"/>
              <w:end w:w="45" w:type="dxa"/>
            </w:tcMar>
            <w:shd w:fill="F7F9FB"/>
          </w:tcPr>
          <w:p>
            <w:pPr>
              <w:spacing w:before="0" w:after="0"/>
              <w:jc w:val="left"/>
            </w:pPr>
            <w:r>
              <w:rPr>
                <w:rFonts w:ascii="Aptos" w:hAnsi="Aptos"/>
                <w:sz w:val="13"/>
              </w:rPr>
            </w:r>
            <w:r>
              <w:rPr>
                <w:rFonts w:ascii="Aptos" w:hAnsi="Aptos"/>
                <w:b w:val="0"/>
                <w:sz w:val="13"/>
              </w:rPr>
              <w:t>Labl Fashion / LaDOS</w:t>
            </w:r>
          </w:p>
        </w:tc>
      </w:tr>
      <w:tr>
        <w:trPr>
          <w:cantSplit/>
        </w:trPr>
        <w:tc>
          <w:tcPr>
            <w:tcW w:type="dxa" w:w="123444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Oilseed, UCO and renewable oils</w:t>
            </w:r>
          </w:p>
        </w:tc>
        <w:tc>
          <w:tcPr>
            <w:tcW w:type="dxa" w:w="342900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Source, custody, sample/test, processing batch, HSE and product-release event.</w:t>
            </w:r>
          </w:p>
        </w:tc>
        <w:tc>
          <w:tcPr>
            <w:tcW w:type="dxa" w:w="118872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Crostar Energy / CEOS</w:t>
            </w:r>
          </w:p>
        </w:tc>
      </w:tr>
      <w:tr>
        <w:trPr>
          <w:cantSplit/>
        </w:trPr>
        <w:tc>
          <w:tcPr>
            <w:tcW w:type="dxa" w:w="1234440"/>
            <w:vAlign w:val="center"/>
            <w:tcMar>
              <w:top w:w="45" w:type="dxa"/>
              <w:start w:w="45" w:type="dxa"/>
              <w:bottom w:w="45" w:type="dxa"/>
              <w:end w:w="45" w:type="dxa"/>
            </w:tcMar>
            <w:shd w:fill="F7F9FB"/>
          </w:tcPr>
          <w:p>
            <w:pPr>
              <w:spacing w:before="0" w:after="0"/>
              <w:jc w:val="left"/>
            </w:pPr>
            <w:r>
              <w:rPr>
                <w:rFonts w:ascii="Aptos" w:hAnsi="Aptos"/>
                <w:sz w:val="13"/>
              </w:rPr>
            </w:r>
            <w:r>
              <w:rPr>
                <w:rFonts w:ascii="Aptos" w:hAnsi="Aptos"/>
                <w:b w:val="0"/>
                <w:sz w:val="13"/>
              </w:rPr>
              <w:t>Organisation and assurance</w:t>
            </w:r>
          </w:p>
        </w:tc>
        <w:tc>
          <w:tcPr>
            <w:tcW w:type="dxa" w:w="3429000"/>
            <w:vAlign w:val="center"/>
            <w:tcMar>
              <w:top w:w="45" w:type="dxa"/>
              <w:start w:w="45" w:type="dxa"/>
              <w:bottom w:w="45" w:type="dxa"/>
              <w:end w:w="45" w:type="dxa"/>
            </w:tcMar>
            <w:shd w:fill="F7F9FB"/>
          </w:tcPr>
          <w:p>
            <w:pPr>
              <w:spacing w:before="0" w:after="0"/>
              <w:jc w:val="left"/>
            </w:pPr>
            <w:r>
              <w:rPr>
                <w:rFonts w:ascii="Aptos" w:hAnsi="Aptos"/>
                <w:sz w:val="13"/>
              </w:rPr>
            </w:r>
            <w:r>
              <w:rPr>
                <w:rFonts w:ascii="Aptos" w:hAnsi="Aptos"/>
                <w:b w:val="0"/>
                <w:sz w:val="13"/>
              </w:rPr>
              <w:t>Verified supplier, laboratory, certifier, permit or training credential and revocation status.</w:t>
            </w:r>
          </w:p>
        </w:tc>
        <w:tc>
          <w:tcPr>
            <w:tcW w:type="dxa" w:w="1188720"/>
            <w:vAlign w:val="center"/>
            <w:tcMar>
              <w:top w:w="45" w:type="dxa"/>
              <w:start w:w="45" w:type="dxa"/>
              <w:bottom w:w="45" w:type="dxa"/>
              <w:end w:w="45" w:type="dxa"/>
            </w:tcMar>
            <w:shd w:fill="F7F9FB"/>
          </w:tcPr>
          <w:p>
            <w:pPr>
              <w:spacing w:before="0" w:after="0"/>
              <w:jc w:val="left"/>
            </w:pPr>
            <w:r>
              <w:rPr>
                <w:rFonts w:ascii="Aptos" w:hAnsi="Aptos"/>
                <w:sz w:val="13"/>
              </w:rPr>
            </w:r>
            <w:r>
              <w:rPr>
                <w:rFonts w:ascii="Aptos" w:hAnsi="Aptos"/>
                <w:b w:val="0"/>
                <w:sz w:val="13"/>
              </w:rPr>
              <w:t>Issuer and AfriEuro Links governance</w:t>
            </w:r>
          </w:p>
        </w:tc>
      </w:tr>
      <w:tr>
        <w:trPr>
          <w:cantSplit/>
        </w:trPr>
        <w:tc>
          <w:tcPr>
            <w:tcW w:type="dxa" w:w="123444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Payments and community grants</w:t>
            </w:r>
          </w:p>
        </w:tc>
        <w:tc>
          <w:tcPr>
            <w:tcW w:type="dxa" w:w="342900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Human-approved entitlement or milestone hash linked to licensed-provider transaction reference.</w:t>
            </w:r>
          </w:p>
        </w:tc>
        <w:tc>
          <w:tcPr>
            <w:tcW w:type="dxa" w:w="1188720"/>
            <w:vAlign w:val="center"/>
            <w:tcMar>
              <w:top w:w="45" w:type="dxa"/>
              <w:start w:w="45" w:type="dxa"/>
              <w:bottom w:w="45" w:type="dxa"/>
              <w:end w:w="45" w:type="dxa"/>
            </w:tcMar>
          </w:tcPr>
          <w:p>
            <w:pPr>
              <w:spacing w:before="0" w:after="0"/>
              <w:jc w:val="left"/>
            </w:pPr>
            <w:r>
              <w:rPr>
                <w:rFonts w:ascii="Aptos" w:hAnsi="Aptos"/>
                <w:sz w:val="13"/>
              </w:rPr>
            </w:r>
            <w:r>
              <w:rPr>
                <w:rFonts w:ascii="Aptos" w:hAnsi="Aptos"/>
                <w:b w:val="0"/>
                <w:sz w:val="13"/>
              </w:rPr>
              <w:t>Finance approvers and licensed provider</w:t>
            </w:r>
          </w:p>
        </w:tc>
      </w:tr>
    </w:tbl>
    <w:p>
      <w:pPr>
        <w:pStyle w:val="Heading2"/>
        <w:keepNext/>
      </w:pPr>
      <w:r>
        <w:t>6.6 Component 6: Processing and Demonstration</w:t>
      </w:r>
    </w:p>
    <w:p>
      <w:pPr>
        <w:pStyle w:val="ListBullet"/>
      </w:pPr>
      <w:r>
        <w:t>Use Labl Group East Africa’s Sagalla site to demonstrate farm-to-garment traceability, small-batch production and buyer-ready textile products.</w:t>
      </w:r>
    </w:p>
    <w:p>
      <w:pPr>
        <w:pStyle w:val="ListBullet"/>
      </w:pPr>
      <w:r>
        <w:t>Use Crostar Energy’s Mavueni site to validate feedstock aggregation, oil extraction and biodiesel pathway requirements, subject to NEMA, EPRA, KEBS, county and occupational-safety approvals.</w:t>
      </w:r>
    </w:p>
    <w:p>
      <w:pPr>
        <w:pStyle w:val="ListBullet"/>
      </w:pPr>
      <w:r>
        <w:t>Demonstrate safe handling and productive use of by-products.</w:t>
      </w:r>
    </w:p>
    <w:p>
      <w:pPr>
        <w:pStyle w:val="ListBullet"/>
      </w:pPr>
      <w:r>
        <w:t>Undertake technical and commercial trials before recommending expansion.</w:t>
      </w:r>
    </w:p>
    <w:p>
      <w:pPr>
        <w:pStyle w:val="ListBullet"/>
      </w:pPr>
      <w:r>
        <w:t>Document unit costs, quality results, yields, operational risks and scalability.</w:t>
      </w:r>
    </w:p>
    <w:p>
      <w:pPr>
        <w:pStyle w:val="Heading2"/>
        <w:keepNext/>
      </w:pPr>
      <w:r>
        <w:t>6.7 Component 7: Market Linkages, Finance and Transactions</w:t>
      </w:r>
    </w:p>
    <w:p>
      <w:pPr>
        <w:pStyle w:val="ListBullet"/>
      </w:pPr>
      <w:r>
        <w:t>Map and qualify Kenyan, Dutch and wider EU buyers, brands, importers, processors and commercial partners.</w:t>
      </w:r>
    </w:p>
    <w:p>
      <w:pPr>
        <w:pStyle w:val="ListBullet"/>
      </w:pPr>
      <w:r>
        <w:t>Organise buyer missions, supplier forums, product sampling and commercial due diligence.</w:t>
      </w:r>
    </w:p>
    <w:p>
      <w:pPr>
        <w:pStyle w:val="ListBullet"/>
      </w:pPr>
      <w:r>
        <w:t>Negotiate supply, off-take and service agreements.</w:t>
      </w:r>
    </w:p>
    <w:p>
      <w:pPr>
        <w:pStyle w:val="ListBullet"/>
      </w:pPr>
      <w:r>
        <w:t>Assist SMEs with export readiness, costing, documentation, logistics, insurance and finance applications.</w:t>
      </w:r>
    </w:p>
    <w:p>
      <w:pPr>
        <w:pStyle w:val="ListBullet"/>
      </w:pPr>
      <w:r>
        <w:t>Use Labl Fashion B.V.’s Netherlands presence as a gateway to the wider European Union market, strengthening Dutch earning capacity while mobilising trade, procurement and investment from Dutch and other EU buyers, brands, logistics providers and financing institutions. Potential engagement with Invest International, FMO and other Dutch or European financing institutions will remain subject to their independent appraisal.</w:t>
      </w:r>
    </w:p>
    <w:p>
      <w:pPr>
        <w:pStyle w:val="ListBullet"/>
      </w:pPr>
      <w:r>
        <w:t>Complete and review pilot domestic, Dutch and wider European Union commercial and export transactions.</w:t>
      </w:r>
    </w:p>
    <w:p>
      <w:pPr>
        <w:pStyle w:val="Heading2"/>
        <w:keepNext/>
      </w:pPr>
      <w:r>
        <w:t>6.8 Component 8: Inclusion, Community Grants and Enterprise Development</w:t>
      </w:r>
    </w:p>
    <w:p>
      <w:pPr>
        <w:pStyle w:val="ListBullet"/>
      </w:pPr>
      <w:r>
        <w:t>Deliver financial literacy, business planning, cooperative leadership and safeguarding training.</w:t>
      </w:r>
    </w:p>
    <w:p>
      <w:pPr>
        <w:pStyle w:val="ListBullet"/>
      </w:pPr>
      <w:r>
        <w:t>Support women- and youth-led service enterprises in aggregation, transport, data capture, quality inspection, nurseries, extension, food-production services, processing and storage, and support at least 25 women- or youth-led market-service enterprises and track women’s and youth participation directly.</w:t>
      </w:r>
    </w:p>
    <w:p>
      <w:pPr>
        <w:pStyle w:val="ListBullet"/>
      </w:pPr>
      <w:r>
        <w:t>Operate transparent community-grant windows with public criteria, due diligence, approved budgets, milestone disbursement and verification.</w:t>
      </w:r>
    </w:p>
    <w:p>
      <w:pPr>
        <w:pStyle w:val="ListBullet"/>
      </w:pPr>
      <w:r>
        <w:t>Ensure women can register and receive payments in their own names.</w:t>
      </w:r>
    </w:p>
    <w:p>
      <w:pPr>
        <w:pStyle w:val="ListBullet"/>
      </w:pPr>
      <w:r>
        <w:t>Provide accessible grievance, whistleblowing and complaints mechanisms.</w:t>
      </w:r>
    </w:p>
    <w:p>
      <w:pPr>
        <w:pStyle w:val="Heading2"/>
        <w:keepNext/>
      </w:pPr>
      <w:r>
        <w:t>6.9 Component 9: Learning, Policy Linkage and Replication</w:t>
      </w:r>
    </w:p>
    <w:p>
      <w:pPr>
        <w:pStyle w:val="ListBullet"/>
      </w:pPr>
      <w:r>
        <w:t>Produce annual learning briefs and market-system performance reports.</w:t>
      </w:r>
    </w:p>
    <w:p>
      <w:pPr>
        <w:pStyle w:val="ListBullet"/>
      </w:pPr>
      <w:r>
        <w:t>Convene county and national learning forums.</w:t>
      </w:r>
    </w:p>
    <w:p>
      <w:pPr>
        <w:pStyle w:val="ListBullet"/>
      </w:pPr>
      <w:r>
        <w:t>Develop replication packages for other cotton and oilseed-producing counties.</w:t>
      </w:r>
    </w:p>
    <w:p>
      <w:pPr>
        <w:pStyle w:val="ListBullet"/>
      </w:pPr>
      <w:r>
        <w:t>Prepare a regional adaptation framework for Tanzania and Uganda after Kenya validation.</w:t>
      </w:r>
    </w:p>
    <w:p>
      <w:pPr>
        <w:pStyle w:val="ListBullet"/>
      </w:pPr>
      <w:r>
        <w:t>Publish non-confidential tools, standards and lessons for sector use.</w:t>
      </w:r>
    </w:p>
    <w:p>
      <w:pPr>
        <w:pStyle w:val="Heading1"/>
        <w:keepNext/>
      </w:pPr>
      <w:r>
        <w:t>7. Digital System Functional and Governance Requirements</w:t>
      </w:r>
    </w:p>
    <w:p>
      <w:pPr>
        <w:pStyle w:val="Heading2"/>
        <w:keepNext/>
      </w:pPr>
      <w:r>
        <w:t>7.1 Core modules</w:t>
      </w:r>
    </w:p>
    <w:tbl>
      <w:tblPr>
        <w:tblStyle w:val="TableGrid"/>
        <w:tblW w:type="auto" w:w="0"/>
        <w:jc w:val="center"/>
        <w:tblLook w:firstColumn="1" w:firstRow="1" w:lastColumn="0" w:lastRow="0" w:noHBand="0" w:noVBand="1" w:val="04A0"/>
      </w:tblPr>
      <w:tblGrid>
        <w:gridCol w:w="5040"/>
        <w:gridCol w:w="5040"/>
      </w:tblGrid>
      <w:tr>
        <w:trPr>
          <w:tblHeader w:val="true"/>
          <w:tblHeader w:val="true"/>
        </w:trPr>
        <w:tc>
          <w:tcPr>
            <w:tcW w:type="dxa" w:w="2160"/>
            <w:shd w:fill="17375E"/>
            <w:vAlign w:val="center"/>
            <w:tcMar>
              <w:top w:w="55" w:type="dxa"/>
              <w:start w:w="65" w:type="dxa"/>
              <w:bottom w:w="55" w:type="dxa"/>
              <w:end w:w="65" w:type="dxa"/>
            </w:tcMar>
          </w:tcPr>
          <w:p>
            <w:r>
              <w:rPr>
                <w:rFonts w:ascii="Aptos" w:hAnsi="Aptos"/>
                <w:b/>
                <w:color w:val="FFFFFF"/>
                <w:sz w:val="16"/>
              </w:rPr>
              <w:t>Module</w:t>
            </w:r>
          </w:p>
        </w:tc>
        <w:tc>
          <w:tcPr>
            <w:tcW w:type="dxa" w:w="8352"/>
            <w:shd w:fill="17375E"/>
            <w:vAlign w:val="center"/>
            <w:tcMar>
              <w:top w:w="55" w:type="dxa"/>
              <w:start w:w="65" w:type="dxa"/>
              <w:bottom w:w="55" w:type="dxa"/>
              <w:end w:w="65" w:type="dxa"/>
            </w:tcMar>
          </w:tcPr>
          <w:p>
            <w:r>
              <w:rPr>
                <w:rFonts w:ascii="Aptos" w:hAnsi="Aptos"/>
                <w:b/>
                <w:color w:val="FFFFFF"/>
                <w:sz w:val="16"/>
              </w:rPr>
              <w:t>Functions</w:t>
            </w:r>
          </w:p>
        </w:tc>
      </w:tr>
      <w:tr>
        <w:trPr>
          <w:cantSplit/>
        </w:trPr>
        <w:tc>
          <w:tcPr>
            <w:tcW w:type="dxa" w:w="2160"/>
            <w:tcMar>
              <w:top w:w="55" w:type="dxa"/>
              <w:start w:w="65" w:type="dxa"/>
              <w:bottom w:w="55" w:type="dxa"/>
              <w:end w:w="65" w:type="dxa"/>
            </w:tcMar>
            <w:vAlign w:val="top"/>
          </w:tcPr>
          <w:p>
            <w:r>
              <w:rPr>
                <w:rFonts w:ascii="Aptos" w:hAnsi="Aptos"/>
                <w:sz w:val="16"/>
              </w:rPr>
              <w:t>Registry</w:t>
            </w:r>
          </w:p>
        </w:tc>
        <w:tc>
          <w:tcPr>
            <w:tcW w:type="dxa" w:w="8352"/>
            <w:tcMar>
              <w:top w:w="55" w:type="dxa"/>
              <w:start w:w="65" w:type="dxa"/>
              <w:bottom w:w="55" w:type="dxa"/>
              <w:end w:w="65" w:type="dxa"/>
            </w:tcMar>
            <w:vAlign w:val="top"/>
          </w:tcPr>
          <w:p>
            <w:r>
              <w:rPr>
                <w:rFonts w:ascii="Aptos" w:hAnsi="Aptos"/>
                <w:sz w:val="16"/>
              </w:rPr>
              <w:t>Farmers, households, cooperatives, SMEs, buyers, service providers, government and project users.</w:t>
            </w:r>
          </w:p>
        </w:tc>
      </w:tr>
      <w:tr>
        <w:trPr>
          <w:cantSplit/>
        </w:trPr>
        <w:tc>
          <w:tcPr>
            <w:tcW w:type="dxa" w:w="2160"/>
            <w:tcMar>
              <w:top w:w="55" w:type="dxa"/>
              <w:start w:w="65" w:type="dxa"/>
              <w:bottom w:w="55" w:type="dxa"/>
              <w:end w:w="65" w:type="dxa"/>
            </w:tcMar>
            <w:vAlign w:val="top"/>
            <w:shd w:fill="F7F9FB"/>
          </w:tcPr>
          <w:p>
            <w:r>
              <w:rPr>
                <w:rFonts w:ascii="Aptos" w:hAnsi="Aptos"/>
                <w:sz w:val="16"/>
              </w:rPr>
              <w:t>Farm and production</w:t>
            </w:r>
          </w:p>
        </w:tc>
        <w:tc>
          <w:tcPr>
            <w:tcW w:type="dxa" w:w="8352"/>
            <w:tcMar>
              <w:top w:w="55" w:type="dxa"/>
              <w:start w:w="65" w:type="dxa"/>
              <w:bottom w:w="55" w:type="dxa"/>
              <w:end w:w="65" w:type="dxa"/>
            </w:tcMar>
            <w:vAlign w:val="top"/>
            <w:shd w:fill="F7F9FB"/>
          </w:tcPr>
          <w:p>
            <w:r>
              <w:rPr>
                <w:rFonts w:ascii="Aptos" w:hAnsi="Aptos"/>
                <w:sz w:val="16"/>
              </w:rPr>
              <w:t>Geolocation, plot profile, crop plan, expected volumes, practices, inspections and corrective actions.</w:t>
            </w:r>
          </w:p>
        </w:tc>
      </w:tr>
      <w:tr>
        <w:trPr>
          <w:cantSplit/>
        </w:trPr>
        <w:tc>
          <w:tcPr>
            <w:tcW w:type="dxa" w:w="2160"/>
            <w:tcMar>
              <w:top w:w="55" w:type="dxa"/>
              <w:start w:w="65" w:type="dxa"/>
              <w:bottom w:w="55" w:type="dxa"/>
              <w:end w:w="65" w:type="dxa"/>
            </w:tcMar>
            <w:vAlign w:val="top"/>
          </w:tcPr>
          <w:p>
            <w:r>
              <w:rPr>
                <w:rFonts w:ascii="Aptos" w:hAnsi="Aptos"/>
                <w:sz w:val="16"/>
              </w:rPr>
              <w:t>Traceability</w:t>
            </w:r>
          </w:p>
        </w:tc>
        <w:tc>
          <w:tcPr>
            <w:tcW w:type="dxa" w:w="8352"/>
            <w:tcMar>
              <w:top w:w="55" w:type="dxa"/>
              <w:start w:w="65" w:type="dxa"/>
              <w:bottom w:w="55" w:type="dxa"/>
              <w:end w:w="65" w:type="dxa"/>
            </w:tcMar>
            <w:vAlign w:val="top"/>
          </w:tcPr>
          <w:p>
            <w:r>
              <w:rPr>
                <w:rFonts w:ascii="Aptos" w:hAnsi="Aptos"/>
                <w:sz w:val="16"/>
              </w:rPr>
              <w:t>Batch/lot creation, collection, storage, processing, transport, split/merge events and chain-of-custody.</w:t>
            </w:r>
          </w:p>
        </w:tc>
      </w:tr>
      <w:tr>
        <w:trPr>
          <w:cantSplit/>
        </w:trPr>
        <w:tc>
          <w:tcPr>
            <w:tcW w:type="dxa" w:w="2160"/>
            <w:tcMar>
              <w:top w:w="55" w:type="dxa"/>
              <w:start w:w="65" w:type="dxa"/>
              <w:bottom w:w="55" w:type="dxa"/>
              <w:end w:w="65" w:type="dxa"/>
            </w:tcMar>
            <w:vAlign w:val="top"/>
            <w:shd w:fill="F7F9FB"/>
          </w:tcPr>
          <w:p>
            <w:r>
              <w:rPr>
                <w:rFonts w:ascii="Aptos" w:hAnsi="Aptos"/>
                <w:sz w:val="16"/>
              </w:rPr>
              <w:t>Quality</w:t>
            </w:r>
          </w:p>
        </w:tc>
        <w:tc>
          <w:tcPr>
            <w:tcW w:type="dxa" w:w="8352"/>
            <w:tcMar>
              <w:top w:w="55" w:type="dxa"/>
              <w:start w:w="65" w:type="dxa"/>
              <w:bottom w:w="55" w:type="dxa"/>
              <w:end w:w="65" w:type="dxa"/>
            </w:tcMar>
            <w:vAlign w:val="top"/>
            <w:shd w:fill="F7F9FB"/>
          </w:tcPr>
          <w:p>
            <w:r>
              <w:rPr>
                <w:rFonts w:ascii="Aptos" w:hAnsi="Aptos"/>
                <w:sz w:val="16"/>
              </w:rPr>
              <w:t>Specifications, sampling, test results, grading, non-conformance, corrective action and release approval.</w:t>
            </w:r>
          </w:p>
        </w:tc>
      </w:tr>
      <w:tr>
        <w:trPr>
          <w:cantSplit/>
        </w:trPr>
        <w:tc>
          <w:tcPr>
            <w:tcW w:type="dxa" w:w="2160"/>
            <w:tcMar>
              <w:top w:w="55" w:type="dxa"/>
              <w:start w:w="65" w:type="dxa"/>
              <w:bottom w:w="55" w:type="dxa"/>
              <w:end w:w="65" w:type="dxa"/>
            </w:tcMar>
            <w:vAlign w:val="top"/>
          </w:tcPr>
          <w:p>
            <w:r>
              <w:rPr>
                <w:rFonts w:ascii="Aptos" w:hAnsi="Aptos"/>
                <w:sz w:val="16"/>
              </w:rPr>
              <w:t>Transactions</w:t>
            </w:r>
          </w:p>
        </w:tc>
        <w:tc>
          <w:tcPr>
            <w:tcW w:type="dxa" w:w="8352"/>
            <w:tcMar>
              <w:top w:w="55" w:type="dxa"/>
              <w:start w:w="65" w:type="dxa"/>
              <w:bottom w:w="55" w:type="dxa"/>
              <w:end w:w="65" w:type="dxa"/>
            </w:tcMar>
            <w:vAlign w:val="top"/>
          </w:tcPr>
          <w:p>
            <w:r>
              <w:rPr>
                <w:rFonts w:ascii="Aptos" w:hAnsi="Aptos"/>
                <w:sz w:val="16"/>
              </w:rPr>
              <w:t>Orders, contracts, delivery notes, invoices, payment references and supplier histories.</w:t>
            </w:r>
          </w:p>
        </w:tc>
      </w:tr>
      <w:tr>
        <w:trPr>
          <w:cantSplit/>
        </w:trPr>
        <w:tc>
          <w:tcPr>
            <w:tcW w:type="dxa" w:w="2160"/>
            <w:tcMar>
              <w:top w:w="55" w:type="dxa"/>
              <w:start w:w="65" w:type="dxa"/>
              <w:bottom w:w="55" w:type="dxa"/>
              <w:end w:w="65" w:type="dxa"/>
            </w:tcMar>
            <w:vAlign w:val="top"/>
            <w:shd w:fill="F7F9FB"/>
          </w:tcPr>
          <w:p>
            <w:r>
              <w:rPr>
                <w:rFonts w:ascii="Aptos" w:hAnsi="Aptos"/>
                <w:sz w:val="16"/>
              </w:rPr>
              <w:t>Community grants</w:t>
            </w:r>
          </w:p>
        </w:tc>
        <w:tc>
          <w:tcPr>
            <w:tcW w:type="dxa" w:w="8352"/>
            <w:tcMar>
              <w:top w:w="55" w:type="dxa"/>
              <w:start w:w="65" w:type="dxa"/>
              <w:bottom w:w="55" w:type="dxa"/>
              <w:end w:w="65" w:type="dxa"/>
            </w:tcMar>
            <w:vAlign w:val="top"/>
            <w:shd w:fill="F7F9FB"/>
          </w:tcPr>
          <w:p>
            <w:r>
              <w:rPr>
                <w:rFonts w:ascii="Aptos" w:hAnsi="Aptos"/>
                <w:sz w:val="16"/>
              </w:rPr>
              <w:t>Application, due diligence, approval workflow, milestones, disbursement records and verification.</w:t>
            </w:r>
          </w:p>
        </w:tc>
      </w:tr>
      <w:tr>
        <w:trPr>
          <w:cantSplit/>
        </w:trPr>
        <w:tc>
          <w:tcPr>
            <w:tcW w:type="dxa" w:w="2160"/>
            <w:tcMar>
              <w:top w:w="55" w:type="dxa"/>
              <w:start w:w="65" w:type="dxa"/>
              <w:bottom w:w="55" w:type="dxa"/>
              <w:end w:w="65" w:type="dxa"/>
            </w:tcMar>
            <w:vAlign w:val="top"/>
          </w:tcPr>
          <w:p>
            <w:r>
              <w:rPr>
                <w:rFonts w:ascii="Aptos" w:hAnsi="Aptos"/>
                <w:sz w:val="16"/>
              </w:rPr>
              <w:t>Analytics</w:t>
            </w:r>
          </w:p>
        </w:tc>
        <w:tc>
          <w:tcPr>
            <w:tcW w:type="dxa" w:w="8352"/>
            <w:tcMar>
              <w:top w:w="55" w:type="dxa"/>
              <w:start w:w="65" w:type="dxa"/>
              <w:bottom w:w="55" w:type="dxa"/>
              <w:end w:w="65" w:type="dxa"/>
            </w:tcMar>
            <w:vAlign w:val="top"/>
          </w:tcPr>
          <w:p>
            <w:r>
              <w:rPr>
                <w:rFonts w:ascii="Aptos" w:hAnsi="Aptos"/>
                <w:sz w:val="16"/>
              </w:rPr>
              <w:t>Production forecasts, inclusion, sales, quality, compliance, buyer and county dashboards.</w:t>
            </w:r>
          </w:p>
        </w:tc>
      </w:tr>
      <w:tr>
        <w:trPr>
          <w:cantSplit/>
        </w:trPr>
        <w:tc>
          <w:tcPr>
            <w:tcW w:type="dxa" w:w="2160"/>
            <w:tcMar>
              <w:top w:w="55" w:type="dxa"/>
              <w:start w:w="65" w:type="dxa"/>
              <w:bottom w:w="55" w:type="dxa"/>
              <w:end w:w="65" w:type="dxa"/>
            </w:tcMar>
            <w:vAlign w:val="top"/>
            <w:shd w:fill="F7F9FB"/>
          </w:tcPr>
          <w:p>
            <w:r>
              <w:rPr>
                <w:rFonts w:ascii="Aptos" w:hAnsi="Aptos"/>
                <w:sz w:val="16"/>
              </w:rPr>
              <w:t>Administration</w:t>
            </w:r>
          </w:p>
        </w:tc>
        <w:tc>
          <w:tcPr>
            <w:tcW w:type="dxa" w:w="8352"/>
            <w:tcMar>
              <w:top w:w="55" w:type="dxa"/>
              <w:start w:w="65" w:type="dxa"/>
              <w:bottom w:w="55" w:type="dxa"/>
              <w:end w:w="65" w:type="dxa"/>
            </w:tcMar>
            <w:vAlign w:val="top"/>
            <w:shd w:fill="F7F9FB"/>
          </w:tcPr>
          <w:p>
            <w:r>
              <w:rPr>
                <w:rFonts w:ascii="Aptos" w:hAnsi="Aptos"/>
                <w:sz w:val="16"/>
              </w:rPr>
              <w:t>User roles, consent, audit logs, security, backup, incident response and data retention.</w:t>
            </w:r>
          </w:p>
        </w:tc>
      </w:tr>
      <w:tr>
        <w:trPr>
          <w:cantSplit/>
        </w:trPr>
        <w:tc>
          <w:tcPr>
            <w:tcW w:type="dxa" w:w="5040"/>
            <w:tcMar>
              <w:top w:w="55" w:type="dxa"/>
              <w:start w:w="65" w:type="dxa"/>
              <w:bottom w:w="55" w:type="dxa"/>
              <w:end w:w="65" w:type="dxa"/>
            </w:tcMar>
          </w:tcPr>
          <w:p>
            <w:r>
              <w:rPr>
                <w:rFonts w:ascii="Aptos" w:hAnsi="Aptos"/>
                <w:sz w:val="16"/>
              </w:rPr>
              <w:t>Permissioned blockchain and credentials</w:t>
            </w:r>
          </w:p>
        </w:tc>
        <w:tc>
          <w:tcPr>
            <w:tcW w:type="dxa" w:w="5040"/>
            <w:tcMar>
              <w:top w:w="55" w:type="dxa"/>
              <w:start w:w="65" w:type="dxa"/>
              <w:bottom w:w="55" w:type="dxa"/>
              <w:end w:w="65" w:type="dxa"/>
            </w:tcMar>
          </w:tcPr>
          <w:p>
            <w:r>
              <w:rPr>
                <w:rFonts w:ascii="Aptos" w:hAnsi="Aptos"/>
                <w:sz w:val="16"/>
              </w:rPr>
              <w:t>Consortium identities; event hashes; endorsements; private-data references; smart-contract state; credential issuance, verification and revocation; correction links; audit queries.</w:t>
            </w:r>
          </w:p>
        </w:tc>
      </w:tr>
    </w:tbl>
    <w:p>
      <w:pPr>
        <w:spacing w:after="0"/>
      </w:pPr>
    </w:p>
    <w:p>
      <w:pPr>
        <w:pStyle w:val="Heading2"/>
        <w:keepNext/>
      </w:pPr>
      <w:r>
        <w:t>7.2 Technology delivery responsibilities</w:t>
      </w:r>
    </w:p>
    <w:tbl>
      <w:tblPr>
        <w:tblStyle w:val="TableGrid"/>
        <w:tblW w:type="dxa" w:w="5852158"/>
        <w:jc w:val="center"/>
        <w:tblLayout w:type="fixed"/>
        <w:tblLook w:firstColumn="1" w:firstRow="1" w:lastColumn="0" w:lastRow="0" w:noHBand="0" w:noVBand="1" w:val="04A0"/>
      </w:tblPr>
      <w:tblGrid>
        <w:gridCol w:w="1874519"/>
        <w:gridCol w:w="3977639"/>
      </w:tblGrid>
      <w:tr>
        <w:trPr>
          <w:tblHeader w:val="true"/>
        </w:trPr>
        <w:tc>
          <w:tcPr>
            <w:tcW w:type="dxa" w:w="1874519"/>
            <w:shd w:fill="17375E"/>
            <w:vAlign w:val="center"/>
            <w:tcMar>
              <w:top w:w="35" w:type="dxa"/>
              <w:start w:w="35" w:type="dxa"/>
              <w:bottom w:w="35" w:type="dxa"/>
              <w:end w:w="35" w:type="dxa"/>
            </w:tcMar>
          </w:tcPr>
          <w:p>
            <w:r>
              <w:rPr>
                <w:rFonts w:ascii="Aptos" w:hAnsi="Aptos"/>
                <w:b/>
                <w:color w:val="FFFFFF"/>
                <w:sz w:val="14"/>
              </w:rPr>
              <w:t>Actor</w:t>
            </w:r>
          </w:p>
        </w:tc>
        <w:tc>
          <w:tcPr>
            <w:tcW w:type="dxa" w:w="3977639"/>
            <w:shd w:fill="17375E"/>
            <w:vAlign w:val="center"/>
            <w:tcMar>
              <w:top w:w="35" w:type="dxa"/>
              <w:start w:w="35" w:type="dxa"/>
              <w:bottom w:w="35" w:type="dxa"/>
              <w:end w:w="35" w:type="dxa"/>
            </w:tcMar>
          </w:tcPr>
          <w:p>
            <w:r>
              <w:rPr>
                <w:rFonts w:ascii="Aptos" w:hAnsi="Aptos"/>
                <w:b/>
                <w:color w:val="FFFFFF"/>
                <w:sz w:val="14"/>
              </w:rPr>
              <w:t>Responsibilities</w:t>
            </w:r>
          </w:p>
        </w:tc>
      </w:tr>
      <w:tr>
        <w:tc>
          <w:tcPr>
            <w:tcW w:type="dxa" w:w="1874519"/>
            <w:tcMar>
              <w:top w:w="35" w:type="dxa"/>
              <w:start w:w="35" w:type="dxa"/>
              <w:bottom w:w="35" w:type="dxa"/>
              <w:end w:w="35" w:type="dxa"/>
            </w:tcMar>
            <w:vAlign w:val="center"/>
          </w:tcPr>
          <w:p>
            <w:r>
              <w:rPr>
                <w:rFonts w:ascii="Aptos" w:hAnsi="Aptos"/>
                <w:sz w:val="14"/>
              </w:rPr>
              <w:t>Afrisol Technologies Limited</w:t>
            </w:r>
          </w:p>
        </w:tc>
        <w:tc>
          <w:tcPr>
            <w:tcW w:type="dxa" w:w="3977639"/>
            <w:tcMar>
              <w:top w:w="35" w:type="dxa"/>
              <w:start w:w="35" w:type="dxa"/>
              <w:bottom w:w="35" w:type="dxa"/>
              <w:end w:w="35" w:type="dxa"/>
            </w:tcMar>
            <w:vAlign w:val="center"/>
          </w:tcPr>
          <w:p>
            <w:r>
              <w:rPr>
                <w:rFonts w:ascii="Aptos" w:hAnsi="Aptos"/>
                <w:sz w:val="14"/>
              </w:rPr>
              <w:t>System architecture, development, testing, deployment, hosting configuration, integrations, cybersecurity, maintenance, documentation and technical training.</w:t>
            </w:r>
          </w:p>
        </w:tc>
      </w:tr>
      <w:tr>
        <w:tc>
          <w:tcPr>
            <w:tcW w:type="dxa" w:w="1874519"/>
            <w:tcMar>
              <w:top w:w="35" w:type="dxa"/>
              <w:start w:w="35" w:type="dxa"/>
              <w:bottom w:w="35" w:type="dxa"/>
              <w:end w:w="35" w:type="dxa"/>
            </w:tcMar>
            <w:vAlign w:val="center"/>
            <w:shd w:fill="F7F9FB"/>
          </w:tcPr>
          <w:p>
            <w:r>
              <w:rPr>
                <w:rFonts w:ascii="Aptos" w:hAnsi="Aptos"/>
                <w:sz w:val="14"/>
              </w:rPr>
              <w:t>Labl Group East Africa Ltd</w:t>
            </w:r>
          </w:p>
        </w:tc>
        <w:tc>
          <w:tcPr>
            <w:tcW w:type="dxa" w:w="3977639"/>
            <w:tcMar>
              <w:top w:w="35" w:type="dxa"/>
              <w:start w:w="35" w:type="dxa"/>
              <w:bottom w:w="35" w:type="dxa"/>
              <w:end w:w="35" w:type="dxa"/>
            </w:tcMar>
            <w:vAlign w:val="center"/>
            <w:shd w:fill="F7F9FB"/>
          </w:tcPr>
          <w:p>
            <w:r>
              <w:rPr>
                <w:rFonts w:ascii="Aptos" w:hAnsi="Aptos"/>
                <w:sz w:val="14"/>
              </w:rPr>
              <w:t>Product ownership, business requirements, acceptance testing, textile pathway requirements and contract management.</w:t>
            </w:r>
          </w:p>
        </w:tc>
      </w:tr>
      <w:tr>
        <w:tc>
          <w:tcPr>
            <w:tcW w:type="dxa" w:w="1874519"/>
            <w:tcMar>
              <w:top w:w="35" w:type="dxa"/>
              <w:start w:w="35" w:type="dxa"/>
              <w:bottom w:w="35" w:type="dxa"/>
              <w:end w:w="35" w:type="dxa"/>
            </w:tcMar>
            <w:vAlign w:val="center"/>
          </w:tcPr>
          <w:p>
            <w:r>
              <w:rPr>
                <w:rFonts w:ascii="Aptos" w:hAnsi="Aptos"/>
                <w:sz w:val="14"/>
              </w:rPr>
              <w:t>Crostar Energy Ltd</w:t>
            </w:r>
          </w:p>
        </w:tc>
        <w:tc>
          <w:tcPr>
            <w:tcW w:type="dxa" w:w="3977639"/>
            <w:tcMar>
              <w:top w:w="35" w:type="dxa"/>
              <w:start w:w="35" w:type="dxa"/>
              <w:bottom w:w="35" w:type="dxa"/>
              <w:end w:w="35" w:type="dxa"/>
            </w:tcMar>
            <w:vAlign w:val="center"/>
          </w:tcPr>
          <w:p>
            <w:r>
              <w:rPr>
                <w:rFonts w:ascii="Aptos" w:hAnsi="Aptos"/>
                <w:sz w:val="14"/>
              </w:rPr>
              <w:t>Oilseed, processing, quality and energy-pathway requirements.</w:t>
            </w:r>
          </w:p>
        </w:tc>
      </w:tr>
      <w:tr>
        <w:tc>
          <w:tcPr>
            <w:tcW w:type="dxa" w:w="1874519"/>
            <w:tcMar>
              <w:top w:w="35" w:type="dxa"/>
              <w:start w:w="35" w:type="dxa"/>
              <w:bottom w:w="35" w:type="dxa"/>
              <w:end w:w="35" w:type="dxa"/>
            </w:tcMar>
            <w:vAlign w:val="center"/>
            <w:shd w:fill="F7F9FB"/>
          </w:tcPr>
          <w:p>
            <w:r>
              <w:rPr>
                <w:rFonts w:ascii="Aptos" w:hAnsi="Aptos"/>
                <w:sz w:val="14"/>
              </w:rPr>
              <w:t>Goblis Foundation</w:t>
            </w:r>
          </w:p>
        </w:tc>
        <w:tc>
          <w:tcPr>
            <w:tcW w:type="dxa" w:w="3977639"/>
            <w:tcMar>
              <w:top w:w="35" w:type="dxa"/>
              <w:start w:w="35" w:type="dxa"/>
              <w:bottom w:w="35" w:type="dxa"/>
              <w:end w:w="35" w:type="dxa"/>
            </w:tcMar>
            <w:vAlign w:val="center"/>
            <w:shd w:fill="F7F9FB"/>
          </w:tcPr>
          <w:p>
            <w:r>
              <w:rPr>
                <w:rFonts w:ascii="Aptos" w:hAnsi="Aptos"/>
                <w:sz w:val="14"/>
              </w:rPr>
              <w:t>Training, inclusion, safeguarding, financial literacy, community accountability and milestone-based community-grant support.</w:t>
            </w:r>
          </w:p>
        </w:tc>
      </w:tr>
      <w:tr>
        <w:tc>
          <w:tcPr>
            <w:tcW w:type="dxa" w:w="1874519"/>
            <w:tcMar>
              <w:top w:w="35" w:type="dxa"/>
              <w:start w:w="35" w:type="dxa"/>
              <w:bottom w:w="35" w:type="dxa"/>
              <w:end w:w="35" w:type="dxa"/>
            </w:tcMar>
            <w:vAlign w:val="center"/>
          </w:tcPr>
          <w:p>
            <w:r>
              <w:rPr>
                <w:rFonts w:ascii="Aptos" w:hAnsi="Aptos"/>
                <w:sz w:val="14"/>
              </w:rPr>
              <w:t>M&amp;E Team</w:t>
            </w:r>
          </w:p>
        </w:tc>
        <w:tc>
          <w:tcPr>
            <w:tcW w:type="dxa" w:w="3977639"/>
            <w:tcMar>
              <w:top w:w="35" w:type="dxa"/>
              <w:start w:w="35" w:type="dxa"/>
              <w:bottom w:w="35" w:type="dxa"/>
              <w:end w:w="35" w:type="dxa"/>
            </w:tcMar>
            <w:vAlign w:val="center"/>
          </w:tcPr>
          <w:p>
            <w:r>
              <w:rPr>
                <w:rFonts w:ascii="Aptos" w:hAnsi="Aptos"/>
                <w:sz w:val="14"/>
              </w:rPr>
              <w:t>Indicator definitions, dashboard specifications, data-quality assurance and reporting.</w:t>
            </w:r>
          </w:p>
        </w:tc>
      </w:tr>
      <w:tr>
        <w:tc>
          <w:tcPr>
            <w:tcW w:type="dxa" w:w="1874519"/>
            <w:tcMar>
              <w:top w:w="35" w:type="dxa"/>
              <w:start w:w="35" w:type="dxa"/>
              <w:bottom w:w="35" w:type="dxa"/>
              <w:end w:w="35" w:type="dxa"/>
            </w:tcMar>
            <w:vAlign w:val="center"/>
            <w:shd w:fill="F7F9FB"/>
          </w:tcPr>
          <w:p>
            <w:r>
              <w:rPr>
                <w:rFonts w:ascii="Aptos" w:hAnsi="Aptos"/>
                <w:sz w:val="14"/>
              </w:rPr>
              <w:t>Consortium Steering Committee</w:t>
            </w:r>
          </w:p>
        </w:tc>
        <w:tc>
          <w:tcPr>
            <w:tcW w:type="dxa" w:w="3977639"/>
            <w:tcMar>
              <w:top w:w="35" w:type="dxa"/>
              <w:start w:w="35" w:type="dxa"/>
              <w:bottom w:w="35" w:type="dxa"/>
              <w:end w:w="35" w:type="dxa"/>
            </w:tcMar>
            <w:vAlign w:val="center"/>
            <w:shd w:fill="F7F9FB"/>
          </w:tcPr>
          <w:p>
            <w:r>
              <w:rPr>
                <w:rFonts w:ascii="Aptos" w:hAnsi="Aptos"/>
                <w:sz w:val="14"/>
              </w:rPr>
              <w:t>Data governance, access approvals, intellectual property, change control and sustainability decisions.</w:t>
            </w:r>
          </w:p>
        </w:tc>
      </w:tr>
      <w:tr>
        <w:tc>
          <w:tcPr>
            <w:tcW w:type="dxa" w:w="1874519"/>
            <w:tcMar>
              <w:top w:w="35" w:type="dxa"/>
              <w:start w:w="35" w:type="dxa"/>
              <w:bottom w:w="35" w:type="dxa"/>
              <w:end w:w="35" w:type="dxa"/>
            </w:tcMar>
            <w:vAlign w:val="center"/>
          </w:tcPr>
          <w:p>
            <w:r>
              <w:rPr>
                <w:rFonts w:ascii="Aptos" w:hAnsi="Aptos"/>
                <w:sz w:val="14"/>
              </w:rPr>
              <w:t>Afribiz Consultancy Limited</w:t>
            </w:r>
          </w:p>
        </w:tc>
        <w:tc>
          <w:tcPr>
            <w:tcW w:type="dxa" w:w="3977639"/>
            <w:tcMar>
              <w:top w:w="35" w:type="dxa"/>
              <w:start w:w="35" w:type="dxa"/>
              <w:bottom w:w="35" w:type="dxa"/>
              <w:end w:w="35" w:type="dxa"/>
            </w:tcMar>
            <w:vAlign w:val="center"/>
          </w:tcPr>
          <w:p>
            <w:r>
              <w:rPr>
                <w:rFonts w:ascii="Aptos" w:hAnsi="Aptos"/>
                <w:sz w:val="14"/>
              </w:rPr>
              <w:t>Independent registration, consent and documentation support, data verification, onboarding, corrections and field-service reporting.</w:t>
            </w:r>
          </w:p>
        </w:tc>
      </w:tr>
    </w:tbl>
    <w:p>
      <w:pPr>
        <w:spacing w:after="0"/>
      </w:pPr>
    </w:p>
    <w:p>
      <w:pPr>
        <w:pStyle w:val="Heading2"/>
        <w:keepNext/>
      </w:pPr>
      <w:r>
        <w:t>7.3 Data protection and cybersecurity</w:t>
      </w:r>
    </w:p>
    <w:p>
      <w:pPr>
        <w:pStyle w:val="BodyText"/>
      </w:pPr>
      <w:r>
        <w:t>The system will apply privacy-by-design principles, data minimisation, informed consent, role-based access, encryption in transit and at rest, secure coding, audit logs, backups, vulnerability testing, breach-response procedures and defined retention periods. Personally identifiable information will not be shared with buyers unless legally permitted and operationally necessary. The project will maintain a data-sharing agreement, data-processing agreements with service providers and a clear procedure for beneficiary access, correction and complaints.</w:t>
      </w:r>
    </w:p>
    <w:p>
      <w:pPr>
        <w:pStyle w:val="Heading2"/>
      </w:pPr>
      <w:r>
        <w:t>7.4 Permissioned blockchain architecture and controls</w:t>
      </w:r>
    </w:p>
    <w:p>
      <w:r>
        <w:t>The permissioned ledger will be an enterprise trust layer rather than a shared master database. Hyperledger Fabric or an equivalent platform will be assessed against privacy, performance, support and total cost. Membership Service Provider or equivalent identity controls will authenticate organisations and users. Channels or private-data collections will isolate confidential relationships; shared blocks will hold only authorised event data and hashes. Endorsement policies will require the relevant organisations to approve critical transitions.</w:t>
      </w:r>
    </w:p>
    <w:tbl>
      <w:tblPr>
        <w:tblStyle w:val="TableGrid"/>
        <w:tblW w:type="dxa" w:w="5852160"/>
        <w:jc w:val="center"/>
        <w:tblLayout w:type="fixed"/>
        <w:tblLook w:firstColumn="1" w:firstRow="1" w:lastColumn="0" w:lastRow="0" w:noHBand="0" w:noVBand="1" w:val="04A0"/>
      </w:tblPr>
      <w:tblGrid>
        <w:gridCol w:w="1691640"/>
        <w:gridCol w:w="4160520"/>
      </w:tblGrid>
      <w:tr>
        <w:trPr>
          <w:tblHeader w:val="true"/>
        </w:trPr>
        <w:tc>
          <w:tcPr>
            <w:tcW w:type="dxa" w:w="1691640"/>
            <w:vAlign w:val="center"/>
            <w:tcMar>
              <w:top w:w="45" w:type="dxa"/>
              <w:start w:w="45" w:type="dxa"/>
              <w:bottom w:w="45" w:type="dxa"/>
              <w:end w:w="45" w:type="dxa"/>
            </w:tcMar>
            <w:shd w:fill="17375E"/>
          </w:tcPr>
          <w:p>
            <w:pPr>
              <w:spacing w:before="0" w:after="0"/>
              <w:jc w:val="center"/>
            </w:pPr>
            <w:r>
              <w:rPr>
                <w:rFonts w:ascii="Aptos" w:hAnsi="Aptos"/>
                <w:b/>
                <w:color w:val="FFFFFF"/>
                <w:sz w:val="14"/>
              </w:rPr>
            </w:r>
            <w:r>
              <w:rPr>
                <w:rFonts w:ascii="Aptos" w:hAnsi="Aptos"/>
                <w:b/>
                <w:color w:val="FFFFFF"/>
                <w:sz w:val="14"/>
              </w:rPr>
              <w:t>Design decision</w:t>
            </w:r>
          </w:p>
        </w:tc>
        <w:tc>
          <w:tcPr>
            <w:tcW w:type="dxa" w:w="4160520"/>
            <w:vAlign w:val="center"/>
            <w:tcMar>
              <w:top w:w="45" w:type="dxa"/>
              <w:start w:w="45" w:type="dxa"/>
              <w:bottom w:w="45" w:type="dxa"/>
              <w:end w:w="45" w:type="dxa"/>
            </w:tcMar>
            <w:shd w:fill="17375E"/>
          </w:tcPr>
          <w:p>
            <w:pPr>
              <w:spacing w:before="0" w:after="0"/>
              <w:jc w:val="center"/>
            </w:pPr>
            <w:r>
              <w:rPr>
                <w:rFonts w:ascii="Aptos" w:hAnsi="Aptos"/>
                <w:b/>
                <w:color w:val="FFFFFF"/>
                <w:sz w:val="14"/>
              </w:rPr>
            </w:r>
            <w:r>
              <w:rPr>
                <w:rFonts w:ascii="Aptos" w:hAnsi="Aptos"/>
                <w:b/>
                <w:color w:val="FFFFFF"/>
                <w:sz w:val="14"/>
              </w:rPr>
              <w:t>Proposal requirement</w:t>
            </w:r>
          </w:p>
        </w:tc>
      </w:tr>
      <w:tr>
        <w:trPr>
          <w:cantSplit/>
        </w:trPr>
        <w:tc>
          <w:tcPr>
            <w:tcW w:type="dxa" w:w="1691640"/>
            <w:vAlign w:val="center"/>
            <w:tcMar>
              <w:top w:w="45" w:type="dxa"/>
              <w:start w:w="45" w:type="dxa"/>
              <w:bottom w:w="45" w:type="dxa"/>
              <w:end w:w="45" w:type="dxa"/>
            </w:tcMar>
          </w:tcPr>
          <w:p>
            <w:pPr>
              <w:spacing w:before="0" w:after="0"/>
              <w:jc w:val="left"/>
            </w:pPr>
            <w:r>
              <w:rPr>
                <w:rFonts w:ascii="Aptos" w:hAnsi="Aptos"/>
                <w:sz w:val="14"/>
              </w:rPr>
            </w:r>
            <w:r>
              <w:rPr>
                <w:rFonts w:ascii="Aptos" w:hAnsi="Aptos"/>
                <w:b w:val="0"/>
                <w:sz w:val="14"/>
              </w:rPr>
              <w:t>Data placement</w:t>
            </w:r>
          </w:p>
        </w:tc>
        <w:tc>
          <w:tcPr>
            <w:tcW w:type="dxa" w:w="4160520"/>
            <w:vAlign w:val="center"/>
            <w:tcMar>
              <w:top w:w="45" w:type="dxa"/>
              <w:start w:w="45" w:type="dxa"/>
              <w:bottom w:w="45" w:type="dxa"/>
              <w:end w:w="45" w:type="dxa"/>
            </w:tcMar>
          </w:tcPr>
          <w:p>
            <w:pPr>
              <w:spacing w:before="0" w:after="0"/>
              <w:jc w:val="left"/>
            </w:pPr>
            <w:r>
              <w:rPr>
                <w:rFonts w:ascii="Aptos" w:hAnsi="Aptos"/>
                <w:sz w:val="14"/>
              </w:rPr>
            </w:r>
            <w:r>
              <w:rPr>
                <w:rFonts w:ascii="Aptos" w:hAnsi="Aptos"/>
                <w:b w:val="0"/>
                <w:sz w:val="14"/>
              </w:rPr>
              <w:t>Detailed and personal data off-chain; minimum identifiers, event metadata, hashes, signatures and status on-chain.</w:t>
            </w:r>
          </w:p>
        </w:tc>
      </w:tr>
      <w:tr>
        <w:trPr>
          <w:cantSplit/>
        </w:trPr>
        <w:tc>
          <w:tcPr>
            <w:tcW w:type="dxa" w:w="1691640"/>
            <w:vAlign w:val="center"/>
            <w:tcMar>
              <w:top w:w="45" w:type="dxa"/>
              <w:start w:w="45" w:type="dxa"/>
              <w:bottom w:w="45" w:type="dxa"/>
              <w:end w:w="45" w:type="dxa"/>
            </w:tcMar>
            <w:shd w:fill="F7F9FB"/>
          </w:tcPr>
          <w:p>
            <w:pPr>
              <w:spacing w:before="0" w:after="0"/>
              <w:jc w:val="left"/>
            </w:pPr>
            <w:r>
              <w:rPr>
                <w:rFonts w:ascii="Aptos" w:hAnsi="Aptos"/>
                <w:sz w:val="14"/>
              </w:rPr>
            </w:r>
            <w:r>
              <w:rPr>
                <w:rFonts w:ascii="Aptos" w:hAnsi="Aptos"/>
                <w:b w:val="0"/>
                <w:sz w:val="14"/>
              </w:rPr>
              <w:t>Standards</w:t>
            </w:r>
          </w:p>
        </w:tc>
        <w:tc>
          <w:tcPr>
            <w:tcW w:type="dxa" w:w="4160520"/>
            <w:vAlign w:val="center"/>
            <w:tcMar>
              <w:top w:w="45" w:type="dxa"/>
              <w:start w:w="45" w:type="dxa"/>
              <w:bottom w:w="45" w:type="dxa"/>
              <w:end w:w="45" w:type="dxa"/>
            </w:tcMar>
            <w:shd w:fill="F7F9FB"/>
          </w:tcPr>
          <w:p>
            <w:pPr>
              <w:spacing w:before="0" w:after="0"/>
              <w:jc w:val="left"/>
            </w:pPr>
            <w:r>
              <w:rPr>
                <w:rFonts w:ascii="Aptos" w:hAnsi="Aptos"/>
                <w:sz w:val="14"/>
              </w:rPr>
            </w:r>
            <w:r>
              <w:rPr>
                <w:rFonts w:ascii="Aptos" w:hAnsi="Aptos"/>
                <w:b w:val="0"/>
                <w:sz w:val="14"/>
              </w:rPr>
              <w:t>GS1 identifiers and EPCIS 2.0 where applicable; verifiable credentials; DPP-compatible product identifiers and metadata.</w:t>
            </w:r>
          </w:p>
        </w:tc>
      </w:tr>
      <w:tr>
        <w:trPr>
          <w:cantSplit/>
        </w:trPr>
        <w:tc>
          <w:tcPr>
            <w:tcW w:type="dxa" w:w="1691640"/>
            <w:vAlign w:val="center"/>
            <w:tcMar>
              <w:top w:w="45" w:type="dxa"/>
              <w:start w:w="45" w:type="dxa"/>
              <w:bottom w:w="45" w:type="dxa"/>
              <w:end w:w="45" w:type="dxa"/>
            </w:tcMar>
          </w:tcPr>
          <w:p>
            <w:pPr>
              <w:spacing w:before="0" w:after="0"/>
              <w:jc w:val="left"/>
            </w:pPr>
            <w:r>
              <w:rPr>
                <w:rFonts w:ascii="Aptos" w:hAnsi="Aptos"/>
                <w:sz w:val="14"/>
              </w:rPr>
            </w:r>
            <w:r>
              <w:rPr>
                <w:rFonts w:ascii="Aptos" w:hAnsi="Aptos"/>
                <w:b w:val="0"/>
                <w:sz w:val="14"/>
              </w:rPr>
              <w:t>Smart contracts</w:t>
            </w:r>
          </w:p>
        </w:tc>
        <w:tc>
          <w:tcPr>
            <w:tcW w:type="dxa" w:w="4160520"/>
            <w:vAlign w:val="center"/>
            <w:tcMar>
              <w:top w:w="45" w:type="dxa"/>
              <w:start w:w="45" w:type="dxa"/>
              <w:bottom w:w="45" w:type="dxa"/>
              <w:end w:w="45" w:type="dxa"/>
            </w:tcMar>
          </w:tcPr>
          <w:p>
            <w:pPr>
              <w:spacing w:before="0" w:after="0"/>
              <w:jc w:val="left"/>
            </w:pPr>
            <w:r>
              <w:rPr>
                <w:rFonts w:ascii="Aptos" w:hAnsi="Aptos"/>
                <w:sz w:val="14"/>
              </w:rPr>
            </w:r>
            <w:r>
              <w:rPr>
                <w:rFonts w:ascii="Aptos" w:hAnsi="Aptos"/>
                <w:b w:val="0"/>
                <w:sz w:val="14"/>
              </w:rPr>
              <w:t>Workflow and endorsement controls only; legal agreements prevail; payments require licensed rails and human approval.</w:t>
            </w:r>
          </w:p>
        </w:tc>
      </w:tr>
      <w:tr>
        <w:trPr>
          <w:cantSplit/>
        </w:trPr>
        <w:tc>
          <w:tcPr>
            <w:tcW w:type="dxa" w:w="1691640"/>
            <w:vAlign w:val="center"/>
            <w:tcMar>
              <w:top w:w="45" w:type="dxa"/>
              <w:start w:w="45" w:type="dxa"/>
              <w:bottom w:w="45" w:type="dxa"/>
              <w:end w:w="45" w:type="dxa"/>
            </w:tcMar>
            <w:shd w:fill="F7F9FB"/>
          </w:tcPr>
          <w:p>
            <w:pPr>
              <w:spacing w:before="0" w:after="0"/>
              <w:jc w:val="left"/>
            </w:pPr>
            <w:r>
              <w:rPr>
                <w:rFonts w:ascii="Aptos" w:hAnsi="Aptos"/>
                <w:sz w:val="14"/>
              </w:rPr>
            </w:r>
            <w:r>
              <w:rPr>
                <w:rFonts w:ascii="Aptos" w:hAnsi="Aptos"/>
                <w:b w:val="0"/>
                <w:sz w:val="14"/>
              </w:rPr>
              <w:t>Key management</w:t>
            </w:r>
          </w:p>
        </w:tc>
        <w:tc>
          <w:tcPr>
            <w:tcW w:type="dxa" w:w="4160520"/>
            <w:vAlign w:val="center"/>
            <w:tcMar>
              <w:top w:w="45" w:type="dxa"/>
              <w:start w:w="45" w:type="dxa"/>
              <w:bottom w:w="45" w:type="dxa"/>
              <w:end w:w="45" w:type="dxa"/>
            </w:tcMar>
            <w:shd w:fill="F7F9FB"/>
          </w:tcPr>
          <w:p>
            <w:pPr>
              <w:spacing w:before="0" w:after="0"/>
              <w:jc w:val="left"/>
            </w:pPr>
            <w:r>
              <w:rPr>
                <w:rFonts w:ascii="Aptos" w:hAnsi="Aptos"/>
                <w:sz w:val="14"/>
              </w:rPr>
            </w:r>
            <w:r>
              <w:rPr>
                <w:rFonts w:ascii="Aptos" w:hAnsi="Aptos"/>
                <w:b w:val="0"/>
                <w:sz w:val="14"/>
              </w:rPr>
              <w:t>Named custodians, multi-signature administration, backup/recovery, rotation, revocation and incident procedure.</w:t>
            </w:r>
          </w:p>
        </w:tc>
      </w:tr>
      <w:tr>
        <w:trPr>
          <w:cantSplit/>
        </w:trPr>
        <w:tc>
          <w:tcPr>
            <w:tcW w:type="dxa" w:w="1691640"/>
            <w:vAlign w:val="center"/>
            <w:tcMar>
              <w:top w:w="45" w:type="dxa"/>
              <w:start w:w="45" w:type="dxa"/>
              <w:bottom w:w="45" w:type="dxa"/>
              <w:end w:w="45" w:type="dxa"/>
            </w:tcMar>
          </w:tcPr>
          <w:p>
            <w:pPr>
              <w:spacing w:before="0" w:after="0"/>
              <w:jc w:val="left"/>
            </w:pPr>
            <w:r>
              <w:rPr>
                <w:rFonts w:ascii="Aptos" w:hAnsi="Aptos"/>
                <w:sz w:val="14"/>
              </w:rPr>
            </w:r>
            <w:r>
              <w:rPr>
                <w:rFonts w:ascii="Aptos" w:hAnsi="Aptos"/>
                <w:b w:val="0"/>
                <w:sz w:val="14"/>
              </w:rPr>
              <w:t>Governance</w:t>
            </w:r>
          </w:p>
        </w:tc>
        <w:tc>
          <w:tcPr>
            <w:tcW w:type="dxa" w:w="4160520"/>
            <w:vAlign w:val="center"/>
            <w:tcMar>
              <w:top w:w="45" w:type="dxa"/>
              <w:start w:w="45" w:type="dxa"/>
              <w:bottom w:w="45" w:type="dxa"/>
              <w:end w:w="45" w:type="dxa"/>
            </w:tcMar>
          </w:tcPr>
          <w:p>
            <w:pPr>
              <w:spacing w:before="0" w:after="0"/>
              <w:jc w:val="left"/>
            </w:pPr>
            <w:r>
              <w:rPr>
                <w:rFonts w:ascii="Aptos" w:hAnsi="Aptos"/>
                <w:sz w:val="14"/>
              </w:rPr>
            </w:r>
            <w:r>
              <w:rPr>
                <w:rFonts w:ascii="Aptos" w:hAnsi="Aptos"/>
                <w:b w:val="0"/>
                <w:sz w:val="14"/>
              </w:rPr>
              <w:t>Node roles, voting, upgrades, code review, disputes, member entry/exit and data portability documented.</w:t>
            </w:r>
          </w:p>
        </w:tc>
      </w:tr>
      <w:tr>
        <w:trPr>
          <w:cantSplit/>
        </w:trPr>
        <w:tc>
          <w:tcPr>
            <w:tcW w:type="dxa" w:w="1691640"/>
            <w:vAlign w:val="center"/>
            <w:tcMar>
              <w:top w:w="45" w:type="dxa"/>
              <w:start w:w="45" w:type="dxa"/>
              <w:bottom w:w="45" w:type="dxa"/>
              <w:end w:w="45" w:type="dxa"/>
            </w:tcMar>
            <w:shd w:fill="F7F9FB"/>
          </w:tcPr>
          <w:p>
            <w:pPr>
              <w:spacing w:before="0" w:after="0"/>
              <w:jc w:val="left"/>
            </w:pPr>
            <w:r>
              <w:rPr>
                <w:rFonts w:ascii="Aptos" w:hAnsi="Aptos"/>
                <w:sz w:val="14"/>
              </w:rPr>
            </w:r>
            <w:r>
              <w:rPr>
                <w:rFonts w:ascii="Aptos" w:hAnsi="Aptos"/>
                <w:b w:val="0"/>
                <w:sz w:val="14"/>
              </w:rPr>
              <w:t>Assurance</w:t>
            </w:r>
          </w:p>
        </w:tc>
        <w:tc>
          <w:tcPr>
            <w:tcW w:type="dxa" w:w="4160520"/>
            <w:vAlign w:val="center"/>
            <w:tcMar>
              <w:top w:w="45" w:type="dxa"/>
              <w:start w:w="45" w:type="dxa"/>
              <w:bottom w:w="45" w:type="dxa"/>
              <w:end w:w="45" w:type="dxa"/>
            </w:tcMar>
            <w:shd w:fill="F7F9FB"/>
          </w:tcPr>
          <w:p>
            <w:pPr>
              <w:spacing w:before="0" w:after="0"/>
              <w:jc w:val="left"/>
            </w:pPr>
            <w:r>
              <w:rPr>
                <w:rFonts w:ascii="Aptos" w:hAnsi="Aptos"/>
                <w:sz w:val="14"/>
              </w:rPr>
            </w:r>
            <w:r>
              <w:rPr>
                <w:rFonts w:ascii="Aptos" w:hAnsi="Aptos"/>
                <w:b w:val="0"/>
                <w:sz w:val="14"/>
              </w:rPr>
              <w:t>Architecture review, code and configuration audit, penetration testing, performance tests and operational acceptance.</w:t>
            </w:r>
          </w:p>
        </w:tc>
      </w:tr>
    </w:tbl>
    <w:p>
      <w:pPr>
        <w:pStyle w:val="Heading2"/>
      </w:pPr>
      <w:r>
        <w:t>7.5 Blockchain boundaries and non-uses</w:t>
      </w:r>
    </w:p>
    <w:p>
      <w:r>
        <w:t>The project will not issue cryptocurrency, promise token returns, store unrestricted personal data on-chain, treat a ledger entry as proof that a field observation is accurate, bypass regulators or banks, or claim that blockchain automatically makes a crop or product sustainable. Any future tokenisation, public-chain anchoring or digital-asset financing requires a separate legal, standards, market and governance case.</w:t>
      </w:r>
    </w:p>
    <w:p>
      <w:pPr>
        <w:pStyle w:val="Heading1"/>
        <w:keepNext/>
      </w:pPr>
      <w:r>
        <w:t>8. Implementation Arrangements and Work Plan</w:t>
      </w:r>
    </w:p>
    <w:p>
      <w:pPr>
        <w:pStyle w:val="Heading2"/>
        <w:keepNext/>
      </w:pPr>
      <w:r>
        <w:t>8.1 Phasing</w:t>
      </w:r>
    </w:p>
    <w:tbl>
      <w:tblPr>
        <w:tblStyle w:val="TableGrid"/>
        <w:tblW w:type="auto" w:w="0"/>
        <w:jc w:val="center"/>
        <w:tblLook w:firstColumn="1" w:firstRow="1" w:lastColumn="0" w:lastRow="0" w:noHBand="0" w:noVBand="1" w:val="04A0"/>
      </w:tblPr>
      <w:tblGrid>
        <w:gridCol w:w="3360"/>
        <w:gridCol w:w="3360"/>
        <w:gridCol w:w="3360"/>
      </w:tblGrid>
      <w:tr>
        <w:trPr>
          <w:tblHeader w:val="true"/>
          <w:tblHeader w:val="true"/>
        </w:trPr>
        <w:tc>
          <w:tcPr>
            <w:tcW w:type="dxa" w:w="2304"/>
            <w:shd w:fill="17375E"/>
            <w:vAlign w:val="center"/>
            <w:tcMar>
              <w:top w:w="55" w:type="dxa"/>
              <w:start w:w="65" w:type="dxa"/>
              <w:bottom w:w="55" w:type="dxa"/>
              <w:end w:w="65" w:type="dxa"/>
            </w:tcMar>
          </w:tcPr>
          <w:p>
            <w:r>
              <w:rPr>
                <w:rFonts w:ascii="Aptos" w:hAnsi="Aptos"/>
                <w:b/>
                <w:color w:val="FFFFFF"/>
                <w:sz w:val="16"/>
              </w:rPr>
              <w:t>Phase</w:t>
            </w:r>
          </w:p>
        </w:tc>
        <w:tc>
          <w:tcPr>
            <w:tcW w:type="dxa" w:w="1728"/>
            <w:shd w:fill="17375E"/>
            <w:vAlign w:val="center"/>
            <w:tcMar>
              <w:top w:w="55" w:type="dxa"/>
              <w:start w:w="65" w:type="dxa"/>
              <w:bottom w:w="55" w:type="dxa"/>
              <w:end w:w="65" w:type="dxa"/>
            </w:tcMar>
          </w:tcPr>
          <w:p>
            <w:r>
              <w:rPr>
                <w:rFonts w:ascii="Aptos" w:hAnsi="Aptos"/>
                <w:b/>
                <w:color w:val="FFFFFF"/>
                <w:sz w:val="16"/>
              </w:rPr>
              <w:t>Period</w:t>
            </w:r>
          </w:p>
        </w:tc>
        <w:tc>
          <w:tcPr>
            <w:tcW w:type="dxa" w:w="6480"/>
            <w:shd w:fill="17375E"/>
            <w:vAlign w:val="center"/>
            <w:tcMar>
              <w:top w:w="55" w:type="dxa"/>
              <w:start w:w="65" w:type="dxa"/>
              <w:bottom w:w="55" w:type="dxa"/>
              <w:end w:w="65" w:type="dxa"/>
            </w:tcMar>
          </w:tcPr>
          <w:p>
            <w:r>
              <w:rPr>
                <w:rFonts w:ascii="Aptos" w:hAnsi="Aptos"/>
                <w:b/>
                <w:color w:val="FFFFFF"/>
                <w:sz w:val="16"/>
              </w:rPr>
              <w:t>Main outputs</w:t>
            </w:r>
          </w:p>
        </w:tc>
      </w:tr>
      <w:tr>
        <w:trPr>
          <w:cantSplit/>
        </w:trPr>
        <w:tc>
          <w:tcPr>
            <w:tcW w:type="dxa" w:w="2304"/>
            <w:tcMar>
              <w:top w:w="55" w:type="dxa"/>
              <w:start w:w="65" w:type="dxa"/>
              <w:bottom w:w="55" w:type="dxa"/>
              <w:end w:w="65" w:type="dxa"/>
            </w:tcMar>
            <w:vAlign w:val="top"/>
          </w:tcPr>
          <w:p>
            <w:r>
              <w:rPr>
                <w:rFonts w:ascii="Aptos" w:hAnsi="Aptos"/>
                <w:sz w:val="16"/>
              </w:rPr>
              <w:t>Phase 1: Inception and validation</w:t>
            </w:r>
          </w:p>
        </w:tc>
        <w:tc>
          <w:tcPr>
            <w:tcW w:type="dxa" w:w="1728"/>
            <w:tcMar>
              <w:top w:w="55" w:type="dxa"/>
              <w:start w:w="65" w:type="dxa"/>
              <w:bottom w:w="55" w:type="dxa"/>
              <w:end w:w="65" w:type="dxa"/>
            </w:tcMar>
            <w:vAlign w:val="top"/>
          </w:tcPr>
          <w:p>
            <w:r>
              <w:rPr>
                <w:rFonts w:ascii="Aptos" w:hAnsi="Aptos"/>
                <w:sz w:val="16"/>
              </w:rPr>
              <w:t>Months 1–6</w:t>
            </w:r>
          </w:p>
        </w:tc>
        <w:tc>
          <w:tcPr>
            <w:tcW w:type="dxa" w:w="6480"/>
            <w:tcMar>
              <w:top w:w="55" w:type="dxa"/>
              <w:start w:w="65" w:type="dxa"/>
              <w:bottom w:w="55" w:type="dxa"/>
              <w:end w:w="65" w:type="dxa"/>
            </w:tcMar>
            <w:vAlign w:val="top"/>
          </w:tcPr>
          <w:p>
            <w:r>
              <w:rPr>
                <w:rFonts w:ascii="Aptos" w:hAnsi="Aptos"/>
                <w:sz w:val="16"/>
              </w:rPr>
              <w:t>Governance, baseline, market validation, approvals roadmap, platform requirements and cluster selection. Blockchain business case, consortium governance, EPCIS/data model and proof-of-concept design.</w:t>
            </w:r>
          </w:p>
        </w:tc>
      </w:tr>
      <w:tr>
        <w:trPr>
          <w:cantSplit/>
        </w:trPr>
        <w:tc>
          <w:tcPr>
            <w:tcW w:type="dxa" w:w="2304"/>
            <w:tcMar>
              <w:top w:w="55" w:type="dxa"/>
              <w:start w:w="65" w:type="dxa"/>
              <w:bottom w:w="55" w:type="dxa"/>
              <w:end w:w="65" w:type="dxa"/>
            </w:tcMar>
            <w:vAlign w:val="top"/>
            <w:shd w:fill="F7F9FB"/>
          </w:tcPr>
          <w:p>
            <w:r>
              <w:rPr>
                <w:rFonts w:ascii="Aptos" w:hAnsi="Aptos"/>
                <w:sz w:val="16"/>
              </w:rPr>
              <w:t>Phase 2: Build and organise</w:t>
            </w:r>
          </w:p>
        </w:tc>
        <w:tc>
          <w:tcPr>
            <w:tcW w:type="dxa" w:w="1728"/>
            <w:tcMar>
              <w:top w:w="55" w:type="dxa"/>
              <w:start w:w="65" w:type="dxa"/>
              <w:bottom w:w="55" w:type="dxa"/>
              <w:end w:w="65" w:type="dxa"/>
            </w:tcMar>
            <w:vAlign w:val="top"/>
            <w:shd w:fill="F7F9FB"/>
          </w:tcPr>
          <w:p>
            <w:r>
              <w:rPr>
                <w:rFonts w:ascii="Aptos" w:hAnsi="Aptos"/>
                <w:sz w:val="16"/>
              </w:rPr>
              <w:t>Months 7–15</w:t>
            </w:r>
          </w:p>
        </w:tc>
        <w:tc>
          <w:tcPr>
            <w:tcW w:type="dxa" w:w="6480"/>
            <w:tcMar>
              <w:top w:w="55" w:type="dxa"/>
              <w:start w:w="65" w:type="dxa"/>
              <w:bottom w:w="55" w:type="dxa"/>
              <w:end w:w="65" w:type="dxa"/>
            </w:tcMar>
            <w:vAlign w:val="top"/>
            <w:shd w:fill="F7F9FB"/>
          </w:tcPr>
          <w:p>
            <w:r>
              <w:rPr>
                <w:rFonts w:ascii="Aptos" w:hAnsi="Aptos"/>
                <w:sz w:val="16"/>
              </w:rPr>
              <w:t>Registration, cluster formation, agronomy training, standards, platform development and initial demonstrations. Permissioned-ledger pilot, credentials and smart-contract testing.</w:t>
            </w:r>
          </w:p>
        </w:tc>
      </w:tr>
      <w:tr>
        <w:trPr>
          <w:cantSplit/>
        </w:trPr>
        <w:tc>
          <w:tcPr>
            <w:tcW w:type="dxa" w:w="2304"/>
            <w:tcMar>
              <w:top w:w="55" w:type="dxa"/>
              <w:start w:w="65" w:type="dxa"/>
              <w:bottom w:w="55" w:type="dxa"/>
              <w:end w:w="65" w:type="dxa"/>
            </w:tcMar>
            <w:vAlign w:val="top"/>
          </w:tcPr>
          <w:p>
            <w:r>
              <w:rPr>
                <w:rFonts w:ascii="Aptos" w:hAnsi="Aptos"/>
                <w:sz w:val="16"/>
              </w:rPr>
              <w:t>Phase 3: Deploy and transact</w:t>
            </w:r>
          </w:p>
        </w:tc>
        <w:tc>
          <w:tcPr>
            <w:tcW w:type="dxa" w:w="1728"/>
            <w:tcMar>
              <w:top w:w="55" w:type="dxa"/>
              <w:start w:w="65" w:type="dxa"/>
              <w:bottom w:w="55" w:type="dxa"/>
              <w:end w:w="65" w:type="dxa"/>
            </w:tcMar>
            <w:vAlign w:val="top"/>
          </w:tcPr>
          <w:p>
            <w:r>
              <w:rPr>
                <w:rFonts w:ascii="Aptos" w:hAnsi="Aptos"/>
                <w:sz w:val="16"/>
              </w:rPr>
              <w:t>Months 16–27</w:t>
            </w:r>
          </w:p>
        </w:tc>
        <w:tc>
          <w:tcPr>
            <w:tcW w:type="dxa" w:w="6480"/>
            <w:tcMar>
              <w:top w:w="55" w:type="dxa"/>
              <w:start w:w="65" w:type="dxa"/>
              <w:bottom w:w="55" w:type="dxa"/>
              <w:end w:w="65" w:type="dxa"/>
            </w:tcMar>
            <w:vAlign w:val="top"/>
          </w:tcPr>
          <w:p>
            <w:r>
              <w:rPr>
                <w:rFonts w:ascii="Aptos" w:hAnsi="Aptos"/>
                <w:sz w:val="16"/>
              </w:rPr>
              <w:t>Platform rollout, internal controls, certification readiness, buyer engagement, processing trials and first transactions. Blockchain business case, consortium governance, EPCIS/data model and proof-of-concept design.</w:t>
            </w:r>
          </w:p>
        </w:tc>
      </w:tr>
      <w:tr>
        <w:trPr>
          <w:cantSplit/>
        </w:trPr>
        <w:tc>
          <w:tcPr>
            <w:tcW w:type="dxa" w:w="2304"/>
            <w:tcMar>
              <w:top w:w="55" w:type="dxa"/>
              <w:start w:w="65" w:type="dxa"/>
              <w:bottom w:w="55" w:type="dxa"/>
              <w:end w:w="65" w:type="dxa"/>
            </w:tcMar>
            <w:vAlign w:val="top"/>
            <w:shd w:fill="F7F9FB"/>
          </w:tcPr>
          <w:p>
            <w:r>
              <w:rPr>
                <w:rFonts w:ascii="Aptos" w:hAnsi="Aptos"/>
                <w:sz w:val="16"/>
              </w:rPr>
              <w:t>Phase 4: Scale and transition</w:t>
            </w:r>
          </w:p>
        </w:tc>
        <w:tc>
          <w:tcPr>
            <w:tcW w:type="dxa" w:w="1728"/>
            <w:tcMar>
              <w:top w:w="55" w:type="dxa"/>
              <w:start w:w="65" w:type="dxa"/>
              <w:bottom w:w="55" w:type="dxa"/>
              <w:end w:w="65" w:type="dxa"/>
            </w:tcMar>
            <w:vAlign w:val="top"/>
            <w:shd w:fill="F7F9FB"/>
          </w:tcPr>
          <w:p>
            <w:r>
              <w:rPr>
                <w:rFonts w:ascii="Aptos" w:hAnsi="Aptos"/>
                <w:sz w:val="16"/>
              </w:rPr>
              <w:t>Months 28–36</w:t>
            </w:r>
          </w:p>
        </w:tc>
        <w:tc>
          <w:tcPr>
            <w:tcW w:type="dxa" w:w="6480"/>
            <w:tcMar>
              <w:top w:w="55" w:type="dxa"/>
              <w:start w:w="65" w:type="dxa"/>
              <w:bottom w:w="55" w:type="dxa"/>
              <w:end w:w="65" w:type="dxa"/>
            </w:tcMar>
            <w:vAlign w:val="top"/>
            <w:shd w:fill="F7F9FB"/>
          </w:tcPr>
          <w:p>
            <w:r>
              <w:rPr>
                <w:rFonts w:ascii="Aptos" w:hAnsi="Aptos"/>
                <w:sz w:val="16"/>
              </w:rPr>
              <w:t>Expanded transactions, cost recovery, evaluation, institutionalisation and replication package.</w:t>
            </w:r>
          </w:p>
        </w:tc>
      </w:tr>
    </w:tbl>
    <w:p>
      <w:pPr>
        <w:spacing w:after="0"/>
      </w:pPr>
    </w:p>
    <w:p>
      <w:pPr>
        <w:pStyle w:val="Heading2"/>
        <w:keepNext/>
      </w:pPr>
      <w:r>
        <w:t>8.2 Detailed activity schedule</w:t>
      </w:r>
    </w:p>
    <w:tbl>
      <w:tblPr>
        <w:tblStyle w:val="TableGrid"/>
        <w:tblW w:type="dxa" w:w="5861304"/>
        <w:jc w:val="center"/>
        <w:tblLayout w:type="fixed"/>
        <w:tblLook w:firstColumn="1" w:firstRow="1" w:lastColumn="0" w:lastRow="0" w:noHBand="0" w:noVBand="1" w:val="04A0"/>
      </w:tblPr>
      <w:tblGrid>
        <w:gridCol w:w="1143000"/>
        <w:gridCol w:w="393192"/>
        <w:gridCol w:w="393192"/>
        <w:gridCol w:w="393192"/>
        <w:gridCol w:w="393192"/>
        <w:gridCol w:w="393192"/>
        <w:gridCol w:w="393192"/>
        <w:gridCol w:w="393192"/>
        <w:gridCol w:w="393192"/>
        <w:gridCol w:w="393192"/>
        <w:gridCol w:w="393192"/>
        <w:gridCol w:w="393192"/>
        <w:gridCol w:w="393192"/>
      </w:tblGrid>
      <w:tr>
        <w:trPr>
          <w:tblHeader w:val="true"/>
        </w:trPr>
        <w:tc>
          <w:tcPr>
            <w:tcW w:type="dxa" w:w="1143000"/>
            <w:shd w:fill="17375E"/>
            <w:vAlign w:val="center"/>
            <w:tcMar>
              <w:top w:w="45" w:type="dxa"/>
              <w:start w:w="45" w:type="dxa"/>
              <w:bottom w:w="45" w:type="dxa"/>
              <w:end w:w="45" w:type="dxa"/>
            </w:tcMar>
          </w:tcPr>
          <w:p>
            <w:r>
              <w:rPr>
                <w:rFonts w:ascii="Aptos" w:hAnsi="Aptos"/>
                <w:b/>
                <w:color w:val="FFFFFF"/>
                <w:sz w:val="12"/>
              </w:rPr>
              <w:t>Activity</w:t>
            </w:r>
          </w:p>
        </w:tc>
        <w:tc>
          <w:tcPr>
            <w:tcW w:type="dxa" w:w="393192"/>
            <w:shd w:fill="17375E"/>
            <w:vAlign w:val="center"/>
            <w:tcMar>
              <w:top w:w="45" w:type="dxa"/>
              <w:start w:w="45" w:type="dxa"/>
              <w:bottom w:w="45" w:type="dxa"/>
              <w:end w:w="45" w:type="dxa"/>
            </w:tcMar>
          </w:tcPr>
          <w:p>
            <w:r>
              <w:rPr>
                <w:rFonts w:ascii="Aptos" w:hAnsi="Aptos"/>
                <w:b/>
                <w:color w:val="FFFFFF"/>
                <w:sz w:val="12"/>
              </w:rPr>
              <w:t>Q1</w:t>
            </w:r>
          </w:p>
        </w:tc>
        <w:tc>
          <w:tcPr>
            <w:tcW w:type="dxa" w:w="393192"/>
            <w:shd w:fill="17375E"/>
            <w:vAlign w:val="center"/>
            <w:tcMar>
              <w:top w:w="45" w:type="dxa"/>
              <w:start w:w="45" w:type="dxa"/>
              <w:bottom w:w="45" w:type="dxa"/>
              <w:end w:w="45" w:type="dxa"/>
            </w:tcMar>
          </w:tcPr>
          <w:p>
            <w:r>
              <w:rPr>
                <w:rFonts w:ascii="Aptos" w:hAnsi="Aptos"/>
                <w:b/>
                <w:color w:val="FFFFFF"/>
                <w:sz w:val="12"/>
              </w:rPr>
              <w:t>Q2</w:t>
            </w:r>
          </w:p>
        </w:tc>
        <w:tc>
          <w:tcPr>
            <w:tcW w:type="dxa" w:w="393192"/>
            <w:shd w:fill="17375E"/>
            <w:vAlign w:val="center"/>
            <w:tcMar>
              <w:top w:w="45" w:type="dxa"/>
              <w:start w:w="45" w:type="dxa"/>
              <w:bottom w:w="45" w:type="dxa"/>
              <w:end w:w="45" w:type="dxa"/>
            </w:tcMar>
          </w:tcPr>
          <w:p>
            <w:r>
              <w:rPr>
                <w:rFonts w:ascii="Aptos" w:hAnsi="Aptos"/>
                <w:b/>
                <w:color w:val="FFFFFF"/>
                <w:sz w:val="12"/>
              </w:rPr>
              <w:t>Q3</w:t>
            </w:r>
          </w:p>
        </w:tc>
        <w:tc>
          <w:tcPr>
            <w:tcW w:type="dxa" w:w="393192"/>
            <w:shd w:fill="17375E"/>
            <w:vAlign w:val="center"/>
            <w:tcMar>
              <w:top w:w="45" w:type="dxa"/>
              <w:start w:w="45" w:type="dxa"/>
              <w:bottom w:w="45" w:type="dxa"/>
              <w:end w:w="45" w:type="dxa"/>
            </w:tcMar>
          </w:tcPr>
          <w:p>
            <w:r>
              <w:rPr>
                <w:rFonts w:ascii="Aptos" w:hAnsi="Aptos"/>
                <w:b/>
                <w:color w:val="FFFFFF"/>
                <w:sz w:val="12"/>
              </w:rPr>
              <w:t>Q4</w:t>
            </w:r>
          </w:p>
        </w:tc>
        <w:tc>
          <w:tcPr>
            <w:tcW w:type="dxa" w:w="393192"/>
            <w:shd w:fill="17375E"/>
            <w:vAlign w:val="center"/>
            <w:tcMar>
              <w:top w:w="45" w:type="dxa"/>
              <w:start w:w="45" w:type="dxa"/>
              <w:bottom w:w="45" w:type="dxa"/>
              <w:end w:w="45" w:type="dxa"/>
            </w:tcMar>
          </w:tcPr>
          <w:p>
            <w:r>
              <w:rPr>
                <w:rFonts w:ascii="Aptos" w:hAnsi="Aptos"/>
                <w:b/>
                <w:color w:val="FFFFFF"/>
                <w:sz w:val="12"/>
              </w:rPr>
              <w:t>Q5</w:t>
            </w:r>
          </w:p>
        </w:tc>
        <w:tc>
          <w:tcPr>
            <w:tcW w:type="dxa" w:w="393192"/>
            <w:shd w:fill="17375E"/>
            <w:vAlign w:val="center"/>
            <w:tcMar>
              <w:top w:w="45" w:type="dxa"/>
              <w:start w:w="45" w:type="dxa"/>
              <w:bottom w:w="45" w:type="dxa"/>
              <w:end w:w="45" w:type="dxa"/>
            </w:tcMar>
          </w:tcPr>
          <w:p>
            <w:r>
              <w:rPr>
                <w:rFonts w:ascii="Aptos" w:hAnsi="Aptos"/>
                <w:b/>
                <w:color w:val="FFFFFF"/>
                <w:sz w:val="12"/>
              </w:rPr>
              <w:t>Q6</w:t>
            </w:r>
          </w:p>
        </w:tc>
        <w:tc>
          <w:tcPr>
            <w:tcW w:type="dxa" w:w="393192"/>
            <w:shd w:fill="17375E"/>
            <w:vAlign w:val="center"/>
            <w:tcMar>
              <w:top w:w="45" w:type="dxa"/>
              <w:start w:w="45" w:type="dxa"/>
              <w:bottom w:w="45" w:type="dxa"/>
              <w:end w:w="45" w:type="dxa"/>
            </w:tcMar>
          </w:tcPr>
          <w:p>
            <w:r>
              <w:rPr>
                <w:rFonts w:ascii="Aptos" w:hAnsi="Aptos"/>
                <w:b/>
                <w:color w:val="FFFFFF"/>
                <w:sz w:val="12"/>
              </w:rPr>
              <w:t>Q7</w:t>
            </w:r>
          </w:p>
        </w:tc>
        <w:tc>
          <w:tcPr>
            <w:tcW w:type="dxa" w:w="393192"/>
            <w:shd w:fill="17375E"/>
            <w:vAlign w:val="center"/>
            <w:tcMar>
              <w:top w:w="45" w:type="dxa"/>
              <w:start w:w="45" w:type="dxa"/>
              <w:bottom w:w="45" w:type="dxa"/>
              <w:end w:w="45" w:type="dxa"/>
            </w:tcMar>
          </w:tcPr>
          <w:p>
            <w:r>
              <w:rPr>
                <w:rFonts w:ascii="Aptos" w:hAnsi="Aptos"/>
                <w:b/>
                <w:color w:val="FFFFFF"/>
                <w:sz w:val="12"/>
              </w:rPr>
              <w:t>Q8</w:t>
            </w:r>
          </w:p>
        </w:tc>
        <w:tc>
          <w:tcPr>
            <w:tcW w:type="dxa" w:w="393192"/>
            <w:shd w:fill="17375E"/>
            <w:vAlign w:val="center"/>
            <w:tcMar>
              <w:top w:w="45" w:type="dxa"/>
              <w:start w:w="45" w:type="dxa"/>
              <w:bottom w:w="45" w:type="dxa"/>
              <w:end w:w="45" w:type="dxa"/>
            </w:tcMar>
          </w:tcPr>
          <w:p>
            <w:r>
              <w:rPr>
                <w:rFonts w:ascii="Aptos" w:hAnsi="Aptos"/>
                <w:b/>
                <w:color w:val="FFFFFF"/>
                <w:sz w:val="12"/>
              </w:rPr>
              <w:t>Q9</w:t>
            </w:r>
          </w:p>
        </w:tc>
        <w:tc>
          <w:tcPr>
            <w:tcW w:type="dxa" w:w="393192"/>
            <w:shd w:fill="17375E"/>
            <w:vAlign w:val="center"/>
            <w:tcMar>
              <w:top w:w="45" w:type="dxa"/>
              <w:start w:w="45" w:type="dxa"/>
              <w:bottom w:w="45" w:type="dxa"/>
              <w:end w:w="45" w:type="dxa"/>
            </w:tcMar>
          </w:tcPr>
          <w:p>
            <w:r>
              <w:rPr>
                <w:rFonts w:ascii="Aptos" w:hAnsi="Aptos"/>
                <w:b/>
                <w:color w:val="FFFFFF"/>
                <w:sz w:val="12"/>
              </w:rPr>
              <w:t>Q10</w:t>
            </w:r>
          </w:p>
        </w:tc>
        <w:tc>
          <w:tcPr>
            <w:tcW w:type="dxa" w:w="393192"/>
            <w:shd w:fill="17375E"/>
            <w:vAlign w:val="center"/>
            <w:tcMar>
              <w:top w:w="45" w:type="dxa"/>
              <w:start w:w="45" w:type="dxa"/>
              <w:bottom w:w="45" w:type="dxa"/>
              <w:end w:w="45" w:type="dxa"/>
            </w:tcMar>
          </w:tcPr>
          <w:p>
            <w:r>
              <w:rPr>
                <w:rFonts w:ascii="Aptos" w:hAnsi="Aptos"/>
                <w:b/>
                <w:color w:val="FFFFFF"/>
                <w:sz w:val="12"/>
              </w:rPr>
              <w:t>Q11</w:t>
            </w:r>
          </w:p>
        </w:tc>
        <w:tc>
          <w:tcPr>
            <w:tcW w:type="dxa" w:w="393192"/>
            <w:shd w:fill="17375E"/>
            <w:vAlign w:val="center"/>
            <w:tcMar>
              <w:top w:w="45" w:type="dxa"/>
              <w:start w:w="45" w:type="dxa"/>
              <w:bottom w:w="45" w:type="dxa"/>
              <w:end w:w="45" w:type="dxa"/>
            </w:tcMar>
          </w:tcPr>
          <w:p>
            <w:r>
              <w:rPr>
                <w:rFonts w:ascii="Aptos" w:hAnsi="Aptos"/>
                <w:b/>
                <w:color w:val="FFFFFF"/>
                <w:sz w:val="12"/>
              </w:rPr>
              <w:t>Q12</w:t>
            </w:r>
          </w:p>
        </w:tc>
      </w:tr>
      <w:tr>
        <w:tc>
          <w:tcPr>
            <w:tcW w:type="dxa" w:w="1143000"/>
            <w:tcMar>
              <w:top w:w="45" w:type="dxa"/>
              <w:start w:w="45" w:type="dxa"/>
              <w:bottom w:w="45" w:type="dxa"/>
              <w:end w:w="45" w:type="dxa"/>
            </w:tcMar>
            <w:vAlign w:val="center"/>
          </w:tcPr>
          <w:p>
            <w:r>
              <w:rPr>
                <w:rFonts w:ascii="Aptos" w:hAnsi="Aptos"/>
                <w:sz w:val="12"/>
              </w:rPr>
              <w:t>Governance and inception</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r>
      <w:tr>
        <w:tc>
          <w:tcPr>
            <w:tcW w:type="dxa" w:w="1143000"/>
            <w:tcMar>
              <w:top w:w="45" w:type="dxa"/>
              <w:start w:w="45" w:type="dxa"/>
              <w:bottom w:w="45" w:type="dxa"/>
              <w:end w:w="45" w:type="dxa"/>
            </w:tcMar>
            <w:vAlign w:val="center"/>
            <w:shd w:fill="F7F9FB"/>
          </w:tcPr>
          <w:p>
            <w:r>
              <w:rPr>
                <w:rFonts w:ascii="Aptos" w:hAnsi="Aptos"/>
                <w:sz w:val="12"/>
              </w:rPr>
              <w:t>Baseline and market studies</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r>
      <w:tr>
        <w:tc>
          <w:tcPr>
            <w:tcW w:type="dxa" w:w="1143000"/>
            <w:tcMar>
              <w:top w:w="45" w:type="dxa"/>
              <w:start w:w="45" w:type="dxa"/>
              <w:bottom w:w="45" w:type="dxa"/>
              <w:end w:w="45" w:type="dxa"/>
            </w:tcMar>
            <w:vAlign w:val="center"/>
          </w:tcPr>
          <w:p>
            <w:r>
              <w:rPr>
                <w:rFonts w:ascii="Aptos" w:hAnsi="Aptos"/>
                <w:sz w:val="12"/>
              </w:rPr>
              <w:t>Regulatory and safeguards planning</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r>
      <w:tr>
        <w:tc>
          <w:tcPr>
            <w:tcW w:type="dxa" w:w="1143000"/>
            <w:tcMar>
              <w:top w:w="45" w:type="dxa"/>
              <w:start w:w="45" w:type="dxa"/>
              <w:bottom w:w="45" w:type="dxa"/>
              <w:end w:w="45" w:type="dxa"/>
            </w:tcMar>
            <w:vAlign w:val="center"/>
            <w:shd w:fill="F7F9FB"/>
          </w:tcPr>
          <w:p>
            <w:r>
              <w:rPr>
                <w:rFonts w:ascii="Aptos" w:hAnsi="Aptos"/>
                <w:sz w:val="12"/>
              </w:rPr>
              <w:t>Community mapping and registration</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r>
      <w:tr>
        <w:tc>
          <w:tcPr>
            <w:tcW w:type="dxa" w:w="1143000"/>
            <w:tcMar>
              <w:top w:w="45" w:type="dxa"/>
              <w:start w:w="45" w:type="dxa"/>
              <w:bottom w:w="45" w:type="dxa"/>
              <w:end w:w="45" w:type="dxa"/>
            </w:tcMar>
            <w:vAlign w:val="center"/>
          </w:tcPr>
          <w:p>
            <w:r>
              <w:rPr>
                <w:rFonts w:ascii="Aptos" w:hAnsi="Aptos"/>
                <w:sz w:val="12"/>
              </w:rPr>
              <w:t>Cluster formation and governance</w:t>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r>
      <w:tr>
        <w:tc>
          <w:tcPr>
            <w:tcW w:type="dxa" w:w="1143000"/>
            <w:tcMar>
              <w:top w:w="45" w:type="dxa"/>
              <w:start w:w="45" w:type="dxa"/>
              <w:bottom w:w="45" w:type="dxa"/>
              <w:end w:w="45" w:type="dxa"/>
            </w:tcMar>
            <w:vAlign w:val="center"/>
            <w:shd w:fill="F7F9FB"/>
          </w:tcPr>
          <w:p>
            <w:r>
              <w:rPr>
                <w:rFonts w:ascii="Aptos" w:hAnsi="Aptos"/>
                <w:sz w:val="12"/>
              </w:rPr>
              <w:t>Agronomy and food-security training</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r>
      <w:tr>
        <w:tc>
          <w:tcPr>
            <w:tcW w:type="dxa" w:w="1143000"/>
            <w:tcMar>
              <w:top w:w="45" w:type="dxa"/>
              <w:start w:w="45" w:type="dxa"/>
              <w:bottom w:w="45" w:type="dxa"/>
              <w:end w:w="45" w:type="dxa"/>
            </w:tcMar>
            <w:vAlign w:val="center"/>
          </w:tcPr>
          <w:p>
            <w:r>
              <w:rPr>
                <w:rFonts w:ascii="Aptos" w:hAnsi="Aptos"/>
                <w:sz w:val="12"/>
              </w:rPr>
              <w:t>QA and ICS development</w:t>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r>
      <w:tr>
        <w:tc>
          <w:tcPr>
            <w:tcW w:type="dxa" w:w="1143000"/>
            <w:tcMar>
              <w:top w:w="45" w:type="dxa"/>
              <w:start w:w="45" w:type="dxa"/>
              <w:bottom w:w="45" w:type="dxa"/>
              <w:end w:w="45" w:type="dxa"/>
            </w:tcMar>
            <w:vAlign w:val="center"/>
            <w:shd w:fill="F7F9FB"/>
          </w:tcPr>
          <w:p>
            <w:r>
              <w:rPr>
                <w:rFonts w:ascii="Aptos" w:hAnsi="Aptos"/>
                <w:sz w:val="12"/>
              </w:rPr>
              <w:t>Platform design and build</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r>
      <w:tr>
        <w:tc>
          <w:tcPr>
            <w:tcW w:type="dxa" w:w="1143000"/>
            <w:tcMar>
              <w:top w:w="45" w:type="dxa"/>
              <w:start w:w="45" w:type="dxa"/>
              <w:bottom w:w="45" w:type="dxa"/>
              <w:end w:w="45" w:type="dxa"/>
            </w:tcMar>
            <w:vAlign w:val="center"/>
          </w:tcPr>
          <w:p>
            <w:r>
              <w:rPr>
                <w:rFonts w:ascii="Aptos" w:hAnsi="Aptos"/>
                <w:sz w:val="12"/>
              </w:rPr>
              <w:t>Platform pilot and deployment</w:t>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r>
      <w:tr>
        <w:tc>
          <w:tcPr>
            <w:tcW w:type="dxa" w:w="1143000"/>
            <w:tcMar>
              <w:top w:w="45" w:type="dxa"/>
              <w:start w:w="45" w:type="dxa"/>
              <w:bottom w:w="45" w:type="dxa"/>
              <w:end w:w="45" w:type="dxa"/>
            </w:tcMar>
            <w:vAlign w:val="center"/>
            <w:shd w:fill="F7F9FB"/>
          </w:tcPr>
          <w:p>
            <w:r>
              <w:rPr>
                <w:rFonts w:ascii="Aptos" w:hAnsi="Aptos"/>
                <w:sz w:val="12"/>
              </w:rPr>
              <w:t>Demonstration and processing trials</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r>
      <w:tr>
        <w:tc>
          <w:tcPr>
            <w:tcW w:type="dxa" w:w="1143000"/>
            <w:tcMar>
              <w:top w:w="45" w:type="dxa"/>
              <w:start w:w="45" w:type="dxa"/>
              <w:bottom w:w="45" w:type="dxa"/>
              <w:end w:w="45" w:type="dxa"/>
            </w:tcMar>
            <w:vAlign w:val="center"/>
          </w:tcPr>
          <w:p>
            <w:r>
              <w:rPr>
                <w:rFonts w:ascii="Aptos" w:hAnsi="Aptos"/>
                <w:sz w:val="12"/>
              </w:rPr>
              <w:t>Buyer engagement and transactions</w:t>
            </w:r>
          </w:p>
        </w:tc>
        <w:tc>
          <w:tcPr>
            <w:tcW w:type="dxa" w:w="393192"/>
            <w:tcMar>
              <w:top w:w="45" w:type="dxa"/>
              <w:start w:w="45" w:type="dxa"/>
              <w:bottom w:w="45" w:type="dxa"/>
              <w:end w:w="45" w:type="dxa"/>
            </w:tcMar>
            <w:vAlign w:val="center"/>
          </w:tcPr>
          <w:p>
            <w:r>
              <w:rPr>
                <w:rFonts w:ascii="Aptos" w:hAnsi="Aptos"/>
                <w:sz w:val="12"/>
              </w:rPr>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r>
      <w:tr>
        <w:tc>
          <w:tcPr>
            <w:tcW w:type="dxa" w:w="1143000"/>
            <w:tcMar>
              <w:top w:w="45" w:type="dxa"/>
              <w:start w:w="45" w:type="dxa"/>
              <w:bottom w:w="45" w:type="dxa"/>
              <w:end w:w="45" w:type="dxa"/>
            </w:tcMar>
            <w:vAlign w:val="center"/>
            <w:shd w:fill="F7F9FB"/>
          </w:tcPr>
          <w:p>
            <w:r>
              <w:rPr>
                <w:rFonts w:ascii="Aptos" w:hAnsi="Aptos"/>
                <w:sz w:val="12"/>
              </w:rPr>
              <w:t>Community grants</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r>
      <w:tr>
        <w:tc>
          <w:tcPr>
            <w:tcW w:type="dxa" w:w="1143000"/>
            <w:tcMar>
              <w:top w:w="45" w:type="dxa"/>
              <w:start w:w="45" w:type="dxa"/>
              <w:bottom w:w="45" w:type="dxa"/>
              <w:end w:w="45" w:type="dxa"/>
            </w:tcMar>
            <w:vAlign w:val="center"/>
          </w:tcPr>
          <w:p>
            <w:r>
              <w:rPr>
                <w:rFonts w:ascii="Aptos" w:hAnsi="Aptos"/>
                <w:sz w:val="12"/>
              </w:rPr>
              <w:t>M&amp;E and learning</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c>
          <w:tcPr>
            <w:tcW w:type="dxa" w:w="393192"/>
            <w:tcMar>
              <w:top w:w="45" w:type="dxa"/>
              <w:start w:w="45" w:type="dxa"/>
              <w:bottom w:w="45" w:type="dxa"/>
              <w:end w:w="45" w:type="dxa"/>
            </w:tcMar>
            <w:vAlign w:val="center"/>
          </w:tcPr>
          <w:p>
            <w:r>
              <w:rPr>
                <w:rFonts w:ascii="Aptos" w:hAnsi="Aptos"/>
                <w:sz w:val="12"/>
              </w:rPr>
              <w:t>●</w:t>
            </w:r>
          </w:p>
        </w:tc>
      </w:tr>
      <w:tr>
        <w:tc>
          <w:tcPr>
            <w:tcW w:type="dxa" w:w="1143000"/>
            <w:tcMar>
              <w:top w:w="45" w:type="dxa"/>
              <w:start w:w="45" w:type="dxa"/>
              <w:bottom w:w="45" w:type="dxa"/>
              <w:end w:w="45" w:type="dxa"/>
            </w:tcMar>
            <w:vAlign w:val="center"/>
            <w:shd w:fill="F7F9FB"/>
          </w:tcPr>
          <w:p>
            <w:r>
              <w:rPr>
                <w:rFonts w:ascii="Aptos" w:hAnsi="Aptos"/>
                <w:sz w:val="12"/>
              </w:rPr>
              <w:t>Transition and replication</w:t>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c>
          <w:tcPr>
            <w:tcW w:type="dxa" w:w="393192"/>
            <w:tcMar>
              <w:top w:w="45" w:type="dxa"/>
              <w:start w:w="45" w:type="dxa"/>
              <w:bottom w:w="45" w:type="dxa"/>
              <w:end w:w="45" w:type="dxa"/>
            </w:tcMar>
            <w:vAlign w:val="center"/>
            <w:shd w:fill="F7F9FB"/>
          </w:tcPr>
          <w:p>
            <w:r>
              <w:rPr>
                <w:rFonts w:ascii="Aptos" w:hAnsi="Aptos"/>
                <w:sz w:val="12"/>
              </w:rPr>
              <w:t>●</w:t>
            </w:r>
          </w:p>
        </w:tc>
      </w:tr>
    </w:tbl>
    <w:p>
      <w:pPr>
        <w:spacing w:after="0"/>
      </w:pPr>
    </w:p>
    <w:p>
      <w:pPr>
        <w:pStyle w:val="Heading1"/>
        <w:keepNext/>
      </w:pPr>
      <w:r>
        <w:t>9. Governance, Management and Staffing</w:t>
      </w:r>
    </w:p>
    <w:p>
      <w:pPr>
        <w:pStyle w:val="Heading2"/>
        <w:keepNext/>
      </w:pPr>
      <w:r>
        <w:t>9.1 Governance structure</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2304"/>
            <w:shd w:fill="1F4E78"/>
            <w:vAlign w:val="center"/>
            <w:tcMar>
              <w:top w:w="80" w:type="dxa"/>
              <w:start w:w="100" w:type="dxa"/>
              <w:bottom w:w="80" w:type="dxa"/>
              <w:end w:w="100" w:type="dxa"/>
            </w:tcMar>
          </w:tcPr>
          <w:p>
            <w:r>
              <w:t>Body</w:t>
            </w:r>
          </w:p>
        </w:tc>
        <w:tc>
          <w:tcPr>
            <w:tcW w:type="dxa" w:w="3744"/>
            <w:shd w:fill="1F4E78"/>
            <w:vAlign w:val="center"/>
            <w:tcMar>
              <w:top w:w="80" w:type="dxa"/>
              <w:start w:w="100" w:type="dxa"/>
              <w:bottom w:w="80" w:type="dxa"/>
              <w:end w:w="100" w:type="dxa"/>
            </w:tcMar>
          </w:tcPr>
          <w:p>
            <w:r>
              <w:t>Composition</w:t>
            </w:r>
          </w:p>
        </w:tc>
        <w:tc>
          <w:tcPr>
            <w:tcW w:type="dxa" w:w="5184"/>
            <w:shd w:fill="1F4E78"/>
            <w:vAlign w:val="center"/>
            <w:tcMar>
              <w:top w:w="80" w:type="dxa"/>
              <w:start w:w="100" w:type="dxa"/>
              <w:bottom w:w="80" w:type="dxa"/>
              <w:end w:w="100" w:type="dxa"/>
            </w:tcMar>
          </w:tcPr>
          <w:p>
            <w:r>
              <w:t>Function</w:t>
            </w:r>
          </w:p>
        </w:tc>
      </w:tr>
      <w:tr>
        <w:tc>
          <w:tcPr>
            <w:tcW w:type="dxa" w:w="2304"/>
            <w:tcMar>
              <w:top w:w="80" w:type="dxa"/>
              <w:start w:w="100" w:type="dxa"/>
              <w:bottom w:w="80" w:type="dxa"/>
              <w:end w:w="100" w:type="dxa"/>
            </w:tcMar>
            <w:vAlign w:val="top"/>
          </w:tcPr>
          <w:p>
            <w:r>
              <w:t>Project Steering Committee</w:t>
            </w:r>
          </w:p>
        </w:tc>
        <w:tc>
          <w:tcPr>
            <w:tcW w:type="dxa" w:w="3744"/>
            <w:tcMar>
              <w:top w:w="80" w:type="dxa"/>
              <w:start w:w="100" w:type="dxa"/>
              <w:bottom w:w="80" w:type="dxa"/>
              <w:end w:w="100" w:type="dxa"/>
            </w:tcMar>
            <w:vAlign w:val="top"/>
          </w:tcPr>
          <w:p>
            <w:r>
              <w:t>Labl, Crostar, Goblis Foundation, county representatives and invited national institutions.</w:t>
            </w:r>
          </w:p>
        </w:tc>
        <w:tc>
          <w:tcPr>
            <w:tcW w:type="dxa" w:w="5184"/>
            <w:tcMar>
              <w:top w:w="80" w:type="dxa"/>
              <w:start w:w="100" w:type="dxa"/>
              <w:bottom w:w="80" w:type="dxa"/>
              <w:end w:w="100" w:type="dxa"/>
            </w:tcMar>
            <w:vAlign w:val="top"/>
          </w:tcPr>
          <w:p>
            <w:r>
              <w:t>Strategic direction, annual plans, risk oversight, partner coordination and review of performance.</w:t>
            </w:r>
          </w:p>
        </w:tc>
      </w:tr>
      <w:tr>
        <w:tc>
          <w:tcPr>
            <w:tcW w:type="dxa" w:w="2304"/>
            <w:tcMar>
              <w:top w:w="80" w:type="dxa"/>
              <w:start w:w="100" w:type="dxa"/>
              <w:bottom w:w="80" w:type="dxa"/>
              <w:end w:w="100" w:type="dxa"/>
            </w:tcMar>
            <w:vAlign w:val="top"/>
            <w:shd w:fill="EAF2F8"/>
          </w:tcPr>
          <w:p>
            <w:r>
              <w:t>Project Management Unit</w:t>
            </w:r>
          </w:p>
        </w:tc>
        <w:tc>
          <w:tcPr>
            <w:tcW w:type="dxa" w:w="3744"/>
            <w:tcMar>
              <w:top w:w="80" w:type="dxa"/>
              <w:start w:w="100" w:type="dxa"/>
              <w:bottom w:w="80" w:type="dxa"/>
              <w:end w:w="100" w:type="dxa"/>
            </w:tcMar>
            <w:vAlign w:val="top"/>
            <w:shd w:fill="EAF2F8"/>
          </w:tcPr>
          <w:p>
            <w:r>
              <w:t>Project Director, Programme Manager, Finance Manager, M&amp;E Manager, Procurement/Compliance Officer and support staff.</w:t>
            </w:r>
          </w:p>
        </w:tc>
        <w:tc>
          <w:tcPr>
            <w:tcW w:type="dxa" w:w="5184"/>
            <w:tcMar>
              <w:top w:w="80" w:type="dxa"/>
              <w:start w:w="100" w:type="dxa"/>
              <w:bottom w:w="80" w:type="dxa"/>
              <w:end w:w="100" w:type="dxa"/>
            </w:tcMar>
            <w:vAlign w:val="top"/>
            <w:shd w:fill="EAF2F8"/>
          </w:tcPr>
          <w:p>
            <w:r>
              <w:t>Day-to-day implementation, contracting, finance, reporting, coordination and issue resolution.</w:t>
            </w:r>
          </w:p>
        </w:tc>
      </w:tr>
      <w:tr>
        <w:tc>
          <w:tcPr>
            <w:tcW w:type="dxa" w:w="2304"/>
            <w:tcMar>
              <w:top w:w="80" w:type="dxa"/>
              <w:start w:w="100" w:type="dxa"/>
              <w:bottom w:w="80" w:type="dxa"/>
              <w:end w:w="100" w:type="dxa"/>
            </w:tcMar>
            <w:vAlign w:val="top"/>
          </w:tcPr>
          <w:p>
            <w:r>
              <w:t>Technical Working Groups</w:t>
            </w:r>
          </w:p>
        </w:tc>
        <w:tc>
          <w:tcPr>
            <w:tcW w:type="dxa" w:w="3744"/>
            <w:tcMar>
              <w:top w:w="80" w:type="dxa"/>
              <w:start w:w="100" w:type="dxa"/>
              <w:bottom w:w="80" w:type="dxa"/>
              <w:end w:w="100" w:type="dxa"/>
            </w:tcMar>
            <w:vAlign w:val="top"/>
          </w:tcPr>
          <w:p>
            <w:r>
              <w:t>Agriculture/food security; energy/processing; digital/data; markets/QA; safeguards/inclusion.</w:t>
            </w:r>
          </w:p>
        </w:tc>
        <w:tc>
          <w:tcPr>
            <w:tcW w:type="dxa" w:w="5184"/>
            <w:tcMar>
              <w:top w:w="80" w:type="dxa"/>
              <w:start w:w="100" w:type="dxa"/>
              <w:bottom w:w="80" w:type="dxa"/>
              <w:end w:w="100" w:type="dxa"/>
            </w:tcMar>
            <w:vAlign w:val="top"/>
          </w:tcPr>
          <w:p>
            <w:r>
              <w:t>Technical design, review, standards and problem solving.</w:t>
            </w:r>
          </w:p>
        </w:tc>
      </w:tr>
      <w:tr>
        <w:tc>
          <w:tcPr>
            <w:tcW w:type="dxa" w:w="2304"/>
            <w:tcMar>
              <w:top w:w="80" w:type="dxa"/>
              <w:start w:w="100" w:type="dxa"/>
              <w:bottom w:w="80" w:type="dxa"/>
              <w:end w:w="100" w:type="dxa"/>
            </w:tcMar>
            <w:vAlign w:val="top"/>
            <w:shd w:fill="EAF2F8"/>
          </w:tcPr>
          <w:p>
            <w:r>
              <w:t>County Implementation Forums</w:t>
            </w:r>
          </w:p>
        </w:tc>
        <w:tc>
          <w:tcPr>
            <w:tcW w:type="dxa" w:w="3744"/>
            <w:tcMar>
              <w:top w:w="80" w:type="dxa"/>
              <w:start w:w="100" w:type="dxa"/>
              <w:bottom w:w="80" w:type="dxa"/>
              <w:end w:w="100" w:type="dxa"/>
            </w:tcMar>
            <w:vAlign w:val="top"/>
            <w:shd w:fill="EAF2F8"/>
          </w:tcPr>
          <w:p>
            <w:r>
              <w:t>County departments, local administration, cooperatives, community representatives and project field teams.</w:t>
            </w:r>
          </w:p>
        </w:tc>
        <w:tc>
          <w:tcPr>
            <w:tcW w:type="dxa" w:w="5184"/>
            <w:tcMar>
              <w:top w:w="80" w:type="dxa"/>
              <w:start w:w="100" w:type="dxa"/>
              <w:bottom w:w="80" w:type="dxa"/>
              <w:end w:w="100" w:type="dxa"/>
            </w:tcMar>
            <w:vAlign w:val="top"/>
            <w:shd w:fill="EAF2F8"/>
          </w:tcPr>
          <w:p>
            <w:r>
              <w:t>Local planning, mobilisation, extension, grievances and coordination.</w:t>
            </w:r>
          </w:p>
        </w:tc>
      </w:tr>
      <w:tr>
        <w:tc>
          <w:tcPr>
            <w:tcW w:type="dxa" w:w="2304"/>
            <w:tcMar>
              <w:top w:w="80" w:type="dxa"/>
              <w:start w:w="100" w:type="dxa"/>
              <w:bottom w:w="80" w:type="dxa"/>
              <w:end w:w="100" w:type="dxa"/>
            </w:tcMar>
            <w:vAlign w:val="top"/>
          </w:tcPr>
          <w:p>
            <w:r>
              <w:t>Community Oversight Committees</w:t>
            </w:r>
          </w:p>
        </w:tc>
        <w:tc>
          <w:tcPr>
            <w:tcW w:type="dxa" w:w="3744"/>
            <w:tcMar>
              <w:top w:w="80" w:type="dxa"/>
              <w:start w:w="100" w:type="dxa"/>
              <w:bottom w:w="80" w:type="dxa"/>
              <w:end w:w="100" w:type="dxa"/>
            </w:tcMar>
            <w:vAlign w:val="top"/>
          </w:tcPr>
          <w:p>
            <w:r>
              <w:t>Elected representatives with women, youth and marginalised-group participation.</w:t>
            </w:r>
          </w:p>
        </w:tc>
        <w:tc>
          <w:tcPr>
            <w:tcW w:type="dxa" w:w="5184"/>
            <w:tcMar>
              <w:top w:w="80" w:type="dxa"/>
              <w:start w:w="100" w:type="dxa"/>
              <w:bottom w:w="80" w:type="dxa"/>
              <w:end w:w="100" w:type="dxa"/>
            </w:tcMar>
            <w:vAlign w:val="top"/>
          </w:tcPr>
          <w:p>
            <w:r>
              <w:t>Transparency, feedback, community-grant oversight and social accountability.</w:t>
            </w:r>
          </w:p>
        </w:tc>
      </w:tr>
    </w:tbl>
    <w:p>
      <w:pPr>
        <w:spacing w:after="0"/>
      </w:pPr>
    </w:p>
    <w:p>
      <w:pPr>
        <w:pStyle w:val="Heading2"/>
        <w:keepNext/>
      </w:pPr>
      <w:r>
        <w:t>9.2 Indicative staffing</w:t>
      </w:r>
    </w:p>
    <w:tbl>
      <w:tblPr>
        <w:tblStyle w:val="TableGrid"/>
        <w:tblW w:type="auto" w:w="0"/>
        <w:jc w:val="center"/>
        <w:tblLook w:firstColumn="1" w:firstRow="1" w:lastColumn="0" w:lastRow="0" w:noHBand="0" w:noVBand="1" w:val="04A0"/>
      </w:tblPr>
      <w:tblGrid>
        <w:gridCol w:w="5040"/>
        <w:gridCol w:w="5040"/>
      </w:tblGrid>
      <w:tr>
        <w:trPr>
          <w:tblHeader w:val="true"/>
          <w:tblHeader w:val="true"/>
        </w:trPr>
        <w:tc>
          <w:tcPr>
            <w:tcW w:type="dxa" w:w="2880"/>
            <w:shd w:fill="17375E"/>
            <w:vAlign w:val="center"/>
            <w:tcMar>
              <w:top w:w="55" w:type="dxa"/>
              <w:start w:w="65" w:type="dxa"/>
              <w:bottom w:w="55" w:type="dxa"/>
              <w:end w:w="65" w:type="dxa"/>
            </w:tcMar>
          </w:tcPr>
          <w:p>
            <w:r>
              <w:rPr>
                <w:rFonts w:ascii="Aptos" w:hAnsi="Aptos"/>
                <w:b/>
                <w:color w:val="FFFFFF"/>
                <w:sz w:val="16"/>
              </w:rPr>
              <w:t>Position</w:t>
            </w:r>
          </w:p>
        </w:tc>
        <w:tc>
          <w:tcPr>
            <w:tcW w:type="dxa" w:w="7632"/>
            <w:shd w:fill="17375E"/>
            <w:vAlign w:val="center"/>
            <w:tcMar>
              <w:top w:w="55" w:type="dxa"/>
              <w:start w:w="65" w:type="dxa"/>
              <w:bottom w:w="55" w:type="dxa"/>
              <w:end w:w="65" w:type="dxa"/>
            </w:tcMar>
          </w:tcPr>
          <w:p>
            <w:r>
              <w:rPr>
                <w:rFonts w:ascii="Aptos" w:hAnsi="Aptos"/>
                <w:b/>
                <w:color w:val="FFFFFF"/>
                <w:sz w:val="16"/>
              </w:rPr>
              <w:t>Indicative responsibility</w:t>
            </w:r>
          </w:p>
        </w:tc>
      </w:tr>
      <w:tr>
        <w:trPr>
          <w:cantSplit/>
        </w:trPr>
        <w:tc>
          <w:tcPr>
            <w:tcW w:type="dxa" w:w="2880"/>
            <w:tcMar>
              <w:top w:w="55" w:type="dxa"/>
              <w:start w:w="65" w:type="dxa"/>
              <w:bottom w:w="55" w:type="dxa"/>
              <w:end w:w="65" w:type="dxa"/>
            </w:tcMar>
            <w:vAlign w:val="top"/>
          </w:tcPr>
          <w:p>
            <w:r>
              <w:rPr>
                <w:rFonts w:ascii="Aptos" w:hAnsi="Aptos"/>
                <w:sz w:val="16"/>
              </w:rPr>
              <w:t>Project Director</w:t>
            </w:r>
          </w:p>
        </w:tc>
        <w:tc>
          <w:tcPr>
            <w:tcW w:type="dxa" w:w="7632"/>
            <w:tcMar>
              <w:top w:w="55" w:type="dxa"/>
              <w:start w:w="65" w:type="dxa"/>
              <w:bottom w:w="55" w:type="dxa"/>
              <w:end w:w="65" w:type="dxa"/>
            </w:tcMar>
            <w:vAlign w:val="top"/>
          </w:tcPr>
          <w:p>
            <w:r>
              <w:rPr>
                <w:rFonts w:ascii="Aptos" w:hAnsi="Aptos"/>
                <w:sz w:val="16"/>
              </w:rPr>
              <w:t>Accountability to the lead applicant and donor; strategic representation.</w:t>
            </w:r>
          </w:p>
        </w:tc>
      </w:tr>
      <w:tr>
        <w:trPr>
          <w:cantSplit/>
        </w:trPr>
        <w:tc>
          <w:tcPr>
            <w:tcW w:type="dxa" w:w="2880"/>
            <w:tcMar>
              <w:top w:w="55" w:type="dxa"/>
              <w:start w:w="65" w:type="dxa"/>
              <w:bottom w:w="55" w:type="dxa"/>
              <w:end w:w="65" w:type="dxa"/>
            </w:tcMar>
            <w:vAlign w:val="top"/>
            <w:shd w:fill="F7F9FB"/>
          </w:tcPr>
          <w:p>
            <w:r>
              <w:rPr>
                <w:rFonts w:ascii="Aptos" w:hAnsi="Aptos"/>
                <w:sz w:val="16"/>
              </w:rPr>
              <w:t>Programme Manager</w:t>
            </w:r>
          </w:p>
        </w:tc>
        <w:tc>
          <w:tcPr>
            <w:tcW w:type="dxa" w:w="7632"/>
            <w:tcMar>
              <w:top w:w="55" w:type="dxa"/>
              <w:start w:w="65" w:type="dxa"/>
              <w:bottom w:w="55" w:type="dxa"/>
              <w:end w:w="65" w:type="dxa"/>
            </w:tcMar>
            <w:vAlign w:val="top"/>
            <w:shd w:fill="F7F9FB"/>
          </w:tcPr>
          <w:p>
            <w:r>
              <w:rPr>
                <w:rFonts w:ascii="Aptos" w:hAnsi="Aptos"/>
                <w:sz w:val="16"/>
              </w:rPr>
              <w:t>Integrated delivery, work planning, partner management and reporting.</w:t>
            </w:r>
          </w:p>
        </w:tc>
      </w:tr>
      <w:tr>
        <w:trPr>
          <w:cantSplit/>
        </w:trPr>
        <w:tc>
          <w:tcPr>
            <w:tcW w:type="dxa" w:w="2880"/>
            <w:tcMar>
              <w:top w:w="55" w:type="dxa"/>
              <w:start w:w="65" w:type="dxa"/>
              <w:bottom w:w="55" w:type="dxa"/>
              <w:end w:w="65" w:type="dxa"/>
            </w:tcMar>
            <w:vAlign w:val="top"/>
          </w:tcPr>
          <w:p>
            <w:r>
              <w:rPr>
                <w:rFonts w:ascii="Aptos" w:hAnsi="Aptos"/>
                <w:sz w:val="16"/>
              </w:rPr>
              <w:t>Finance and Grants Manager</w:t>
            </w:r>
          </w:p>
        </w:tc>
        <w:tc>
          <w:tcPr>
            <w:tcW w:type="dxa" w:w="7632"/>
            <w:tcMar>
              <w:top w:w="55" w:type="dxa"/>
              <w:start w:w="65" w:type="dxa"/>
              <w:bottom w:w="55" w:type="dxa"/>
              <w:end w:w="65" w:type="dxa"/>
            </w:tcMar>
            <w:vAlign w:val="top"/>
          </w:tcPr>
          <w:p>
            <w:r>
              <w:rPr>
                <w:rFonts w:ascii="Aptos" w:hAnsi="Aptos"/>
                <w:sz w:val="16"/>
              </w:rPr>
              <w:t>Budget control, reporting, community grants, audits and financial compliance.</w:t>
            </w:r>
          </w:p>
        </w:tc>
      </w:tr>
      <w:tr>
        <w:trPr>
          <w:cantSplit/>
        </w:trPr>
        <w:tc>
          <w:tcPr>
            <w:tcW w:type="dxa" w:w="2880"/>
            <w:tcMar>
              <w:top w:w="55" w:type="dxa"/>
              <w:start w:w="65" w:type="dxa"/>
              <w:bottom w:w="55" w:type="dxa"/>
              <w:end w:w="65" w:type="dxa"/>
            </w:tcMar>
            <w:vAlign w:val="top"/>
            <w:shd w:fill="F7F9FB"/>
          </w:tcPr>
          <w:p>
            <w:r>
              <w:rPr>
                <w:rFonts w:ascii="Aptos" w:hAnsi="Aptos"/>
                <w:sz w:val="16"/>
              </w:rPr>
              <w:t>M&amp;E and Learning Manager</w:t>
            </w:r>
          </w:p>
        </w:tc>
        <w:tc>
          <w:tcPr>
            <w:tcW w:type="dxa" w:w="7632"/>
            <w:tcMar>
              <w:top w:w="55" w:type="dxa"/>
              <w:start w:w="65" w:type="dxa"/>
              <w:bottom w:w="55" w:type="dxa"/>
              <w:end w:w="65" w:type="dxa"/>
            </w:tcMar>
            <w:vAlign w:val="top"/>
            <w:shd w:fill="F7F9FB"/>
          </w:tcPr>
          <w:p>
            <w:r>
              <w:rPr>
                <w:rFonts w:ascii="Aptos" w:hAnsi="Aptos"/>
                <w:sz w:val="16"/>
              </w:rPr>
              <w:t>Results framework, studies, data quality, dashboards and learning.</w:t>
            </w:r>
          </w:p>
        </w:tc>
      </w:tr>
      <w:tr>
        <w:trPr>
          <w:cantSplit/>
        </w:trPr>
        <w:tc>
          <w:tcPr>
            <w:tcW w:type="dxa" w:w="2880"/>
            <w:tcMar>
              <w:top w:w="55" w:type="dxa"/>
              <w:start w:w="65" w:type="dxa"/>
              <w:bottom w:w="55" w:type="dxa"/>
              <w:end w:w="65" w:type="dxa"/>
            </w:tcMar>
            <w:vAlign w:val="top"/>
          </w:tcPr>
          <w:p>
            <w:r>
              <w:rPr>
                <w:rFonts w:ascii="Aptos" w:hAnsi="Aptos"/>
                <w:sz w:val="16"/>
              </w:rPr>
              <w:t>Agriculture and Diversification Lead</w:t>
            </w:r>
          </w:p>
        </w:tc>
        <w:tc>
          <w:tcPr>
            <w:tcW w:type="dxa" w:w="7632"/>
            <w:tcMar>
              <w:top w:w="55" w:type="dxa"/>
              <w:start w:w="65" w:type="dxa"/>
              <w:bottom w:w="55" w:type="dxa"/>
              <w:end w:w="65" w:type="dxa"/>
            </w:tcMar>
            <w:vAlign w:val="top"/>
          </w:tcPr>
          <w:p>
            <w:r>
              <w:rPr>
                <w:rFonts w:ascii="Aptos" w:hAnsi="Aptos"/>
                <w:sz w:val="16"/>
              </w:rPr>
              <w:t>Cotton, oilseed, food crops, extension and technical coordination.</w:t>
            </w:r>
          </w:p>
        </w:tc>
      </w:tr>
      <w:tr>
        <w:trPr>
          <w:cantSplit/>
        </w:trPr>
        <w:tc>
          <w:tcPr>
            <w:tcW w:type="dxa" w:w="2880"/>
            <w:tcMar>
              <w:top w:w="55" w:type="dxa"/>
              <w:start w:w="65" w:type="dxa"/>
              <w:bottom w:w="55" w:type="dxa"/>
              <w:end w:w="65" w:type="dxa"/>
            </w:tcMar>
            <w:vAlign w:val="top"/>
            <w:shd w:fill="F7F9FB"/>
          </w:tcPr>
          <w:p>
            <w:r>
              <w:rPr>
                <w:rFonts w:ascii="Aptos" w:hAnsi="Aptos"/>
                <w:sz w:val="16"/>
              </w:rPr>
              <w:t>Quality and Market Access Lead</w:t>
            </w:r>
          </w:p>
        </w:tc>
        <w:tc>
          <w:tcPr>
            <w:tcW w:type="dxa" w:w="7632"/>
            <w:tcMar>
              <w:top w:w="55" w:type="dxa"/>
              <w:start w:w="65" w:type="dxa"/>
              <w:bottom w:w="55" w:type="dxa"/>
              <w:end w:w="65" w:type="dxa"/>
            </w:tcMar>
            <w:vAlign w:val="top"/>
            <w:shd w:fill="F7F9FB"/>
          </w:tcPr>
          <w:p>
            <w:r>
              <w:rPr>
                <w:rFonts w:ascii="Aptos" w:hAnsi="Aptos"/>
                <w:sz w:val="16"/>
              </w:rPr>
              <w:t>Standards, ICS, certification readiness, buyer requirements and transactions.</w:t>
            </w:r>
          </w:p>
        </w:tc>
      </w:tr>
      <w:tr>
        <w:trPr>
          <w:cantSplit/>
        </w:trPr>
        <w:tc>
          <w:tcPr>
            <w:tcW w:type="dxa" w:w="2880"/>
            <w:tcMar>
              <w:top w:w="55" w:type="dxa"/>
              <w:start w:w="65" w:type="dxa"/>
              <w:bottom w:w="55" w:type="dxa"/>
              <w:end w:w="65" w:type="dxa"/>
            </w:tcMar>
            <w:vAlign w:val="top"/>
          </w:tcPr>
          <w:p>
            <w:r>
              <w:rPr>
                <w:rFonts w:ascii="Aptos" w:hAnsi="Aptos"/>
                <w:sz w:val="16"/>
              </w:rPr>
              <w:t>Digital Product Manager</w:t>
            </w:r>
          </w:p>
        </w:tc>
        <w:tc>
          <w:tcPr>
            <w:tcW w:type="dxa" w:w="7632"/>
            <w:tcMar>
              <w:top w:w="55" w:type="dxa"/>
              <w:start w:w="65" w:type="dxa"/>
              <w:bottom w:w="55" w:type="dxa"/>
              <w:end w:w="65" w:type="dxa"/>
            </w:tcMar>
            <w:vAlign w:val="top"/>
          </w:tcPr>
          <w:p>
            <w:r>
              <w:rPr>
                <w:rFonts w:ascii="Aptos" w:hAnsi="Aptos"/>
                <w:sz w:val="16"/>
              </w:rPr>
              <w:t>Afrisol contract management, requirements, testing and user adoption.</w:t>
            </w:r>
          </w:p>
        </w:tc>
      </w:tr>
      <w:tr>
        <w:trPr>
          <w:cantSplit/>
        </w:trPr>
        <w:tc>
          <w:tcPr>
            <w:tcW w:type="dxa" w:w="2880"/>
            <w:tcMar>
              <w:top w:w="55" w:type="dxa"/>
              <w:start w:w="65" w:type="dxa"/>
              <w:bottom w:w="55" w:type="dxa"/>
              <w:end w:w="65" w:type="dxa"/>
            </w:tcMar>
            <w:vAlign w:val="top"/>
            <w:shd w:fill="F7F9FB"/>
          </w:tcPr>
          <w:p>
            <w:r>
              <w:rPr>
                <w:rFonts w:ascii="Aptos" w:hAnsi="Aptos"/>
                <w:sz w:val="16"/>
              </w:rPr>
              <w:t>Community Inclusion Lead</w:t>
            </w:r>
          </w:p>
        </w:tc>
        <w:tc>
          <w:tcPr>
            <w:tcW w:type="dxa" w:w="7632"/>
            <w:tcMar>
              <w:top w:w="55" w:type="dxa"/>
              <w:start w:w="65" w:type="dxa"/>
              <w:bottom w:w="55" w:type="dxa"/>
              <w:end w:w="65" w:type="dxa"/>
            </w:tcMar>
            <w:vAlign w:val="top"/>
            <w:shd w:fill="F7F9FB"/>
          </w:tcPr>
          <w:p>
            <w:r>
              <w:rPr>
                <w:rFonts w:ascii="Aptos" w:hAnsi="Aptos"/>
                <w:sz w:val="16"/>
              </w:rPr>
              <w:t>Goblis Foundation training, safeguards, gender/youth inclusion and grievances.</w:t>
            </w:r>
          </w:p>
        </w:tc>
      </w:tr>
      <w:tr>
        <w:trPr>
          <w:cantSplit/>
        </w:trPr>
        <w:tc>
          <w:tcPr>
            <w:tcW w:type="dxa" w:w="2880"/>
            <w:tcMar>
              <w:top w:w="55" w:type="dxa"/>
              <w:start w:w="65" w:type="dxa"/>
              <w:bottom w:w="55" w:type="dxa"/>
              <w:end w:w="65" w:type="dxa"/>
            </w:tcMar>
            <w:vAlign w:val="top"/>
          </w:tcPr>
          <w:p>
            <w:r>
              <w:rPr>
                <w:rFonts w:ascii="Aptos" w:hAnsi="Aptos"/>
                <w:sz w:val="16"/>
              </w:rPr>
              <w:t>County Coordinators and Field Officers</w:t>
            </w:r>
          </w:p>
        </w:tc>
        <w:tc>
          <w:tcPr>
            <w:tcW w:type="dxa" w:w="7632"/>
            <w:tcMar>
              <w:top w:w="55" w:type="dxa"/>
              <w:start w:w="65" w:type="dxa"/>
              <w:bottom w:w="55" w:type="dxa"/>
              <w:end w:w="65" w:type="dxa"/>
            </w:tcMar>
            <w:vAlign w:val="top"/>
          </w:tcPr>
          <w:p>
            <w:r>
              <w:rPr>
                <w:rFonts w:ascii="Aptos" w:hAnsi="Aptos"/>
                <w:sz w:val="16"/>
              </w:rPr>
              <w:t>Mobilisation, registration, training, verification and cluster support.</w:t>
            </w:r>
          </w:p>
        </w:tc>
      </w:tr>
      <w:tr>
        <w:trPr>
          <w:cantSplit/>
        </w:trPr>
        <w:tc>
          <w:tcPr>
            <w:tcW w:type="dxa" w:w="2880"/>
            <w:tcMar>
              <w:top w:w="55" w:type="dxa"/>
              <w:start w:w="65" w:type="dxa"/>
              <w:bottom w:w="55" w:type="dxa"/>
              <w:end w:w="65" w:type="dxa"/>
            </w:tcMar>
            <w:vAlign w:val="top"/>
            <w:shd w:fill="F7F9FB"/>
          </w:tcPr>
          <w:p>
            <w:r>
              <w:rPr>
                <w:rFonts w:ascii="Aptos" w:hAnsi="Aptos"/>
                <w:sz w:val="16"/>
              </w:rPr>
              <w:t>Procurement and Compliance Officer</w:t>
            </w:r>
          </w:p>
        </w:tc>
        <w:tc>
          <w:tcPr>
            <w:tcW w:type="dxa" w:w="7632"/>
            <w:tcMar>
              <w:top w:w="55" w:type="dxa"/>
              <w:start w:w="65" w:type="dxa"/>
              <w:bottom w:w="55" w:type="dxa"/>
              <w:end w:w="65" w:type="dxa"/>
            </w:tcMar>
            <w:vAlign w:val="top"/>
            <w:shd w:fill="F7F9FB"/>
          </w:tcPr>
          <w:p>
            <w:r>
              <w:rPr>
                <w:rFonts w:ascii="Aptos" w:hAnsi="Aptos"/>
                <w:sz w:val="16"/>
              </w:rPr>
              <w:t>Competitive procurement, contracts, assets and regulatory compliance.</w:t>
            </w:r>
          </w:p>
        </w:tc>
      </w:tr>
      <w:tr>
        <w:trPr>
          <w:cantSplit/>
        </w:trPr>
        <w:tc>
          <w:tcPr>
            <w:tcW w:type="dxa" w:w="5040"/>
            <w:tcMar>
              <w:top w:w="55" w:type="dxa"/>
              <w:start w:w="65" w:type="dxa"/>
              <w:bottom w:w="55" w:type="dxa"/>
              <w:end w:w="65" w:type="dxa"/>
            </w:tcMar>
          </w:tcPr>
          <w:p>
            <w:r>
              <w:rPr>
                <w:rFonts w:ascii="Aptos" w:hAnsi="Aptos"/>
                <w:sz w:val="16"/>
              </w:rPr>
              <w:t>Blockchain and Interoperability Architect</w:t>
            </w:r>
          </w:p>
        </w:tc>
        <w:tc>
          <w:tcPr>
            <w:tcW w:type="dxa" w:w="5040"/>
            <w:tcMar>
              <w:top w:w="55" w:type="dxa"/>
              <w:start w:w="65" w:type="dxa"/>
              <w:bottom w:w="55" w:type="dxa"/>
              <w:end w:w="65" w:type="dxa"/>
            </w:tcMar>
          </w:tcPr>
          <w:p>
            <w:r>
              <w:rPr>
                <w:rFonts w:ascii="Aptos" w:hAnsi="Aptos"/>
                <w:sz w:val="16"/>
              </w:rPr>
              <w:t>Permissioned-ledger design, EPCIS/credentials, smart-contract controls, node/key governance, integrations, performance and handover.</w:t>
            </w:r>
          </w:p>
        </w:tc>
      </w:tr>
    </w:tbl>
    <w:p>
      <w:pPr>
        <w:spacing w:after="0"/>
      </w:pPr>
    </w:p>
    <w:p>
      <w:pPr>
        <w:pStyle w:val="Heading2"/>
        <w:keepNext/>
      </w:pPr>
      <w:r>
        <w:t>9.3 Partner accountability and service-provider controls</w:t>
      </w:r>
    </w:p>
    <w:p>
      <w:pPr>
        <w:pStyle w:val="BodyText"/>
      </w:pPr>
      <w:r>
        <w:t>Afrisol Technologies Limited and Afribiz Consultancy Limited will be engaged through written contracts with defined deliverables, milestones, performance standards, data obligations, confidentiality, ownership and acceptance criteria. Payments will be milestone-based and supported by evidence. No service provider will approve its own deliverables or payments. Community registration records will be independently sampled by the M&amp;E team, and software deliverables will undergo user acceptance and security testing before approval.</w:t>
      </w:r>
    </w:p>
    <w:p>
      <w:pPr>
        <w:pStyle w:val="Heading1"/>
        <w:keepNext/>
      </w:pPr>
      <w:r>
        <w:t>10. Target Groups, Inclusion and Safeguarding</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2592"/>
            <w:shd w:fill="1F4E78"/>
            <w:vAlign w:val="center"/>
            <w:tcMar>
              <w:top w:w="80" w:type="dxa"/>
              <w:start w:w="100" w:type="dxa"/>
              <w:bottom w:w="80" w:type="dxa"/>
              <w:end w:w="100" w:type="dxa"/>
            </w:tcMar>
          </w:tcPr>
          <w:p>
            <w:r>
              <w:t>Target group</w:t>
            </w:r>
          </w:p>
        </w:tc>
        <w:tc>
          <w:tcPr>
            <w:tcW w:type="dxa" w:w="3168"/>
            <w:shd w:fill="1F4E78"/>
            <w:vAlign w:val="center"/>
            <w:tcMar>
              <w:top w:w="80" w:type="dxa"/>
              <w:start w:w="100" w:type="dxa"/>
              <w:bottom w:w="80" w:type="dxa"/>
              <w:end w:w="100" w:type="dxa"/>
            </w:tcMar>
          </w:tcPr>
          <w:p>
            <w:r>
              <w:t>Need</w:t>
            </w:r>
          </w:p>
        </w:tc>
        <w:tc>
          <w:tcPr>
            <w:tcW w:type="dxa" w:w="4752"/>
            <w:shd w:fill="1F4E78"/>
            <w:vAlign w:val="center"/>
            <w:tcMar>
              <w:top w:w="80" w:type="dxa"/>
              <w:start w:w="100" w:type="dxa"/>
              <w:bottom w:w="80" w:type="dxa"/>
              <w:end w:w="100" w:type="dxa"/>
            </w:tcMar>
          </w:tcPr>
          <w:p>
            <w:r>
              <w:t>Project response</w:t>
            </w:r>
          </w:p>
        </w:tc>
      </w:tr>
      <w:tr>
        <w:tc>
          <w:tcPr>
            <w:tcW w:type="dxa" w:w="2592"/>
            <w:tcMar>
              <w:top w:w="80" w:type="dxa"/>
              <w:start w:w="100" w:type="dxa"/>
              <w:bottom w:w="80" w:type="dxa"/>
              <w:end w:w="100" w:type="dxa"/>
            </w:tcMar>
            <w:vAlign w:val="top"/>
          </w:tcPr>
          <w:p>
            <w:r>
              <w:t>Smallholder farmers</w:t>
            </w:r>
          </w:p>
        </w:tc>
        <w:tc>
          <w:tcPr>
            <w:tcW w:type="dxa" w:w="3168"/>
            <w:tcMar>
              <w:top w:w="80" w:type="dxa"/>
              <w:start w:w="100" w:type="dxa"/>
              <w:bottom w:w="80" w:type="dxa"/>
              <w:end w:w="100" w:type="dxa"/>
            </w:tcMar>
            <w:vAlign w:val="top"/>
          </w:tcPr>
          <w:p>
            <w:r>
              <w:t>Reliable markets, standards, extension, diversification and transparent payment.</w:t>
            </w:r>
          </w:p>
        </w:tc>
        <w:tc>
          <w:tcPr>
            <w:tcW w:type="dxa" w:w="4752"/>
            <w:tcMar>
              <w:top w:w="80" w:type="dxa"/>
              <w:start w:w="100" w:type="dxa"/>
              <w:bottom w:w="80" w:type="dxa"/>
              <w:end w:w="100" w:type="dxa"/>
            </w:tcMar>
            <w:vAlign w:val="top"/>
          </w:tcPr>
          <w:p>
            <w:r>
              <w:t>Cluster membership, contracts, training, QA, traceability and buyer linkage.</w:t>
            </w:r>
          </w:p>
        </w:tc>
      </w:tr>
      <w:tr>
        <w:tc>
          <w:tcPr>
            <w:tcW w:type="dxa" w:w="2592"/>
            <w:tcMar>
              <w:top w:w="80" w:type="dxa"/>
              <w:start w:w="100" w:type="dxa"/>
              <w:bottom w:w="80" w:type="dxa"/>
              <w:end w:w="100" w:type="dxa"/>
            </w:tcMar>
            <w:vAlign w:val="top"/>
            <w:shd w:fill="EAF2F8"/>
          </w:tcPr>
          <w:p>
            <w:r>
              <w:t>Women producers and entrepreneurs</w:t>
            </w:r>
          </w:p>
        </w:tc>
        <w:tc>
          <w:tcPr>
            <w:tcW w:type="dxa" w:w="3168"/>
            <w:tcMar>
              <w:top w:w="80" w:type="dxa"/>
              <w:start w:w="100" w:type="dxa"/>
              <w:bottom w:w="80" w:type="dxa"/>
              <w:end w:w="100" w:type="dxa"/>
            </w:tcMar>
            <w:vAlign w:val="top"/>
            <w:shd w:fill="EAF2F8"/>
          </w:tcPr>
          <w:p>
            <w:r>
              <w:t>Direct recognition, asset access, leadership and financial control.</w:t>
            </w:r>
          </w:p>
        </w:tc>
        <w:tc>
          <w:tcPr>
            <w:tcW w:type="dxa" w:w="4752"/>
            <w:tcMar>
              <w:top w:w="80" w:type="dxa"/>
              <w:start w:w="100" w:type="dxa"/>
              <w:bottom w:w="80" w:type="dxa"/>
              <w:end w:w="100" w:type="dxa"/>
            </w:tcMar>
            <w:vAlign w:val="top"/>
            <w:shd w:fill="EAF2F8"/>
          </w:tcPr>
          <w:p>
            <w:r>
              <w:t>Individual registration/payment, governance quotas, tailored enterprise support and safeguarding.</w:t>
            </w:r>
          </w:p>
        </w:tc>
      </w:tr>
      <w:tr>
        <w:tc>
          <w:tcPr>
            <w:tcW w:type="dxa" w:w="2592"/>
            <w:tcMar>
              <w:top w:w="80" w:type="dxa"/>
              <w:start w:w="100" w:type="dxa"/>
              <w:bottom w:w="80" w:type="dxa"/>
              <w:end w:w="100" w:type="dxa"/>
            </w:tcMar>
            <w:vAlign w:val="top"/>
          </w:tcPr>
          <w:p>
            <w:r>
              <w:t>Youth</w:t>
            </w:r>
          </w:p>
        </w:tc>
        <w:tc>
          <w:tcPr>
            <w:tcW w:type="dxa" w:w="3168"/>
            <w:tcMar>
              <w:top w:w="80" w:type="dxa"/>
              <w:start w:w="100" w:type="dxa"/>
              <w:bottom w:w="80" w:type="dxa"/>
              <w:end w:w="100" w:type="dxa"/>
            </w:tcMar>
            <w:vAlign w:val="top"/>
          </w:tcPr>
          <w:p>
            <w:r>
              <w:t>Employment and enterprise opportunities beyond primary farming.</w:t>
            </w:r>
          </w:p>
        </w:tc>
        <w:tc>
          <w:tcPr>
            <w:tcW w:type="dxa" w:w="4752"/>
            <w:tcMar>
              <w:top w:w="80" w:type="dxa"/>
              <w:start w:w="100" w:type="dxa"/>
              <w:bottom w:w="80" w:type="dxa"/>
              <w:end w:w="100" w:type="dxa"/>
            </w:tcMar>
            <w:vAlign w:val="top"/>
          </w:tcPr>
          <w:p>
            <w:r>
              <w:t>Digital registration, logistics, inspection, aggregation, processing and technology roles.</w:t>
            </w:r>
          </w:p>
        </w:tc>
      </w:tr>
      <w:tr>
        <w:tc>
          <w:tcPr>
            <w:tcW w:type="dxa" w:w="2592"/>
            <w:tcMar>
              <w:top w:w="80" w:type="dxa"/>
              <w:start w:w="100" w:type="dxa"/>
              <w:bottom w:w="80" w:type="dxa"/>
              <w:end w:w="100" w:type="dxa"/>
            </w:tcMar>
            <w:vAlign w:val="top"/>
            <w:shd w:fill="EAF2F8"/>
          </w:tcPr>
          <w:p>
            <w:r>
              <w:t>SMEs and cooperatives</w:t>
            </w:r>
          </w:p>
        </w:tc>
        <w:tc>
          <w:tcPr>
            <w:tcW w:type="dxa" w:w="3168"/>
            <w:tcMar>
              <w:top w:w="80" w:type="dxa"/>
              <w:start w:w="100" w:type="dxa"/>
              <w:bottom w:w="80" w:type="dxa"/>
              <w:end w:w="100" w:type="dxa"/>
            </w:tcMar>
            <w:vAlign w:val="top"/>
            <w:shd w:fill="EAF2F8"/>
          </w:tcPr>
          <w:p>
            <w:r>
              <w:t>Commercial records, quality systems, buyers and finance readiness.</w:t>
            </w:r>
          </w:p>
        </w:tc>
        <w:tc>
          <w:tcPr>
            <w:tcW w:type="dxa" w:w="4752"/>
            <w:tcMar>
              <w:top w:w="80" w:type="dxa"/>
              <w:start w:w="100" w:type="dxa"/>
              <w:bottom w:w="80" w:type="dxa"/>
              <w:end w:w="100" w:type="dxa"/>
            </w:tcMar>
            <w:vAlign w:val="top"/>
            <w:shd w:fill="EAF2F8"/>
          </w:tcPr>
          <w:p>
            <w:r>
              <w:t>Business support, traceability, transaction histories, off-take and finance linkage.</w:t>
            </w:r>
          </w:p>
        </w:tc>
      </w:tr>
      <w:tr>
        <w:tc>
          <w:tcPr>
            <w:tcW w:type="dxa" w:w="2592"/>
            <w:tcMar>
              <w:top w:w="80" w:type="dxa"/>
              <w:start w:w="100" w:type="dxa"/>
              <w:bottom w:w="80" w:type="dxa"/>
              <w:end w:w="100" w:type="dxa"/>
            </w:tcMar>
            <w:vAlign w:val="top"/>
          </w:tcPr>
          <w:p>
            <w:r>
              <w:t>Marginalised households and persons with disabilities</w:t>
            </w:r>
          </w:p>
        </w:tc>
        <w:tc>
          <w:tcPr>
            <w:tcW w:type="dxa" w:w="3168"/>
            <w:tcMar>
              <w:top w:w="80" w:type="dxa"/>
              <w:start w:w="100" w:type="dxa"/>
              <w:bottom w:w="80" w:type="dxa"/>
              <w:end w:w="100" w:type="dxa"/>
            </w:tcMar>
            <w:vAlign w:val="top"/>
          </w:tcPr>
          <w:p>
            <w:r>
              <w:t>Accessible information, participation and grievance channels.</w:t>
            </w:r>
          </w:p>
        </w:tc>
        <w:tc>
          <w:tcPr>
            <w:tcW w:type="dxa" w:w="4752"/>
            <w:tcMar>
              <w:top w:w="80" w:type="dxa"/>
              <w:start w:w="100" w:type="dxa"/>
              <w:bottom w:w="80" w:type="dxa"/>
              <w:end w:w="100" w:type="dxa"/>
            </w:tcMar>
            <w:vAlign w:val="top"/>
          </w:tcPr>
          <w:p>
            <w:r>
              <w:t>Inclusive mobilisation, reasonable accommodation and targeted referrals.</w:t>
            </w:r>
          </w:p>
        </w:tc>
      </w:tr>
      <w:tr>
        <w:tc>
          <w:tcPr>
            <w:tcW w:type="dxa" w:w="2592"/>
            <w:tcMar>
              <w:top w:w="80" w:type="dxa"/>
              <w:start w:w="100" w:type="dxa"/>
              <w:bottom w:w="80" w:type="dxa"/>
              <w:end w:w="100" w:type="dxa"/>
            </w:tcMar>
            <w:vAlign w:val="top"/>
            <w:shd w:fill="EAF2F8"/>
          </w:tcPr>
          <w:p>
            <w:r>
              <w:t>Buyers and investors</w:t>
            </w:r>
          </w:p>
        </w:tc>
        <w:tc>
          <w:tcPr>
            <w:tcW w:type="dxa" w:w="3168"/>
            <w:tcMar>
              <w:top w:w="80" w:type="dxa"/>
              <w:start w:w="100" w:type="dxa"/>
              <w:bottom w:w="80" w:type="dxa"/>
              <w:end w:w="100" w:type="dxa"/>
            </w:tcMar>
            <w:vAlign w:val="top"/>
            <w:shd w:fill="EAF2F8"/>
          </w:tcPr>
          <w:p>
            <w:r>
              <w:t>Reliable volume, quality, origin and compliance evidence.</w:t>
            </w:r>
          </w:p>
        </w:tc>
        <w:tc>
          <w:tcPr>
            <w:tcW w:type="dxa" w:w="4752"/>
            <w:tcMar>
              <w:top w:w="80" w:type="dxa"/>
              <w:start w:w="100" w:type="dxa"/>
              <w:bottom w:w="80" w:type="dxa"/>
              <w:end w:w="100" w:type="dxa"/>
            </w:tcMar>
            <w:vAlign w:val="top"/>
            <w:shd w:fill="EAF2F8"/>
          </w:tcPr>
          <w:p>
            <w:r>
              <w:t>Verified suppliers, QA records, traceability, contracts and due diligence.</w:t>
            </w:r>
          </w:p>
        </w:tc>
      </w:tr>
    </w:tbl>
    <w:p>
      <w:pPr>
        <w:spacing w:after="0"/>
      </w:pPr>
    </w:p>
    <w:p>
      <w:pPr>
        <w:pStyle w:val="Heading2"/>
        <w:keepNext/>
      </w:pPr>
      <w:r>
        <w:t>10.1 Safeguarding commitments</w:t>
      </w:r>
    </w:p>
    <w:p>
      <w:pPr>
        <w:pStyle w:val="ListBullet"/>
      </w:pPr>
      <w:r>
        <w:t>Zero tolerance for sexual exploitation, abuse, harassment, child labour, forced labour, fraud and retaliation.</w:t>
      </w:r>
    </w:p>
    <w:p>
      <w:pPr>
        <w:pStyle w:val="ListBullet"/>
      </w:pPr>
      <w:r>
        <w:t>Codes of conduct for staff, partners, contractors and community representatives.</w:t>
      </w:r>
    </w:p>
    <w:p>
      <w:pPr>
        <w:pStyle w:val="ListBullet"/>
      </w:pPr>
      <w:r>
        <w:t>Confidential and accessible complaint channels with referral and survivor-centred procedures.</w:t>
      </w:r>
    </w:p>
    <w:p>
      <w:pPr>
        <w:pStyle w:val="ListBullet"/>
      </w:pPr>
      <w:r>
        <w:t>Age verification and child-protection controls during registration and activities.</w:t>
      </w:r>
    </w:p>
    <w:p>
      <w:pPr>
        <w:pStyle w:val="ListBullet"/>
      </w:pPr>
      <w:r>
        <w:t>Community consultation before land-use, demonstration or processing activities.</w:t>
      </w:r>
    </w:p>
    <w:p>
      <w:pPr>
        <w:pStyle w:val="ListBullet"/>
      </w:pPr>
      <w:r>
        <w:t>No beneficiary will be required to pay unofficial fees to register or access project support.</w:t>
      </w:r>
    </w:p>
    <w:p>
      <w:pPr>
        <w:pStyle w:val="Heading1"/>
        <w:keepNext/>
      </w:pPr>
      <w:r>
        <w:t>11. Results Framework, Monitoring, Evaluation and Learning</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tblHeader w:val="true"/>
        </w:trPr>
        <w:tc>
          <w:tcPr>
            <w:tcW w:type="dxa" w:w="1152"/>
            <w:shd w:fill="17375E"/>
            <w:vAlign w:val="center"/>
            <w:tcMar>
              <w:top w:w="45" w:type="dxa"/>
              <w:start w:w="45" w:type="dxa"/>
              <w:bottom w:w="45" w:type="dxa"/>
              <w:end w:w="45" w:type="dxa"/>
            </w:tcMar>
          </w:tcPr>
          <w:p>
            <w:r>
              <w:rPr>
                <w:rFonts w:ascii="Aptos" w:hAnsi="Aptos"/>
                <w:b/>
                <w:color w:val="FFFFFF"/>
                <w:sz w:val="13"/>
              </w:rPr>
              <w:t>Level</w:t>
            </w:r>
          </w:p>
        </w:tc>
        <w:tc>
          <w:tcPr>
            <w:tcW w:type="dxa" w:w="3024"/>
            <w:shd w:fill="17375E"/>
            <w:vAlign w:val="center"/>
            <w:tcMar>
              <w:top w:w="45" w:type="dxa"/>
              <w:start w:w="45" w:type="dxa"/>
              <w:bottom w:w="45" w:type="dxa"/>
              <w:end w:w="45" w:type="dxa"/>
            </w:tcMar>
          </w:tcPr>
          <w:p>
            <w:r>
              <w:rPr>
                <w:rFonts w:ascii="Aptos" w:hAnsi="Aptos"/>
                <w:b/>
                <w:color w:val="FFFFFF"/>
                <w:sz w:val="13"/>
              </w:rPr>
              <w:t>Result</w:t>
            </w:r>
          </w:p>
        </w:tc>
        <w:tc>
          <w:tcPr>
            <w:tcW w:type="dxa" w:w="3168"/>
            <w:shd w:fill="17375E"/>
            <w:vAlign w:val="center"/>
            <w:tcMar>
              <w:top w:w="45" w:type="dxa"/>
              <w:start w:w="45" w:type="dxa"/>
              <w:bottom w:w="45" w:type="dxa"/>
              <w:end w:w="45" w:type="dxa"/>
            </w:tcMar>
          </w:tcPr>
          <w:p>
            <w:r>
              <w:rPr>
                <w:rFonts w:ascii="Aptos" w:hAnsi="Aptos"/>
                <w:b/>
                <w:color w:val="FFFFFF"/>
                <w:sz w:val="13"/>
              </w:rPr>
              <w:t>Key indicators/targets</w:t>
            </w:r>
          </w:p>
        </w:tc>
        <w:tc>
          <w:tcPr>
            <w:tcW w:type="dxa" w:w="2304"/>
            <w:shd w:fill="17375E"/>
            <w:vAlign w:val="center"/>
            <w:tcMar>
              <w:top w:w="45" w:type="dxa"/>
              <w:start w:w="45" w:type="dxa"/>
              <w:bottom w:w="45" w:type="dxa"/>
              <w:end w:w="45" w:type="dxa"/>
            </w:tcMar>
          </w:tcPr>
          <w:p>
            <w:r>
              <w:rPr>
                <w:rFonts w:ascii="Aptos" w:hAnsi="Aptos"/>
                <w:b/>
                <w:color w:val="FFFFFF"/>
                <w:sz w:val="13"/>
              </w:rPr>
              <w:t>Verification</w:t>
            </w:r>
          </w:p>
        </w:tc>
        <w:tc>
          <w:tcPr>
            <w:tcW w:type="dxa" w:w="1152"/>
            <w:shd w:fill="17375E"/>
            <w:vAlign w:val="center"/>
            <w:tcMar>
              <w:top w:w="45" w:type="dxa"/>
              <w:start w:w="45" w:type="dxa"/>
              <w:bottom w:w="45" w:type="dxa"/>
              <w:end w:w="45" w:type="dxa"/>
            </w:tcMar>
          </w:tcPr>
          <w:p>
            <w:r>
              <w:rPr>
                <w:rFonts w:ascii="Aptos" w:hAnsi="Aptos"/>
                <w:b/>
                <w:color w:val="FFFFFF"/>
                <w:sz w:val="13"/>
              </w:rPr>
              <w:t>Frequency</w:t>
            </w:r>
          </w:p>
        </w:tc>
      </w:tr>
      <w:tr>
        <w:tc>
          <w:tcPr>
            <w:tcW w:type="dxa" w:w="1152"/>
            <w:tcMar>
              <w:top w:w="45" w:type="dxa"/>
              <w:start w:w="45" w:type="dxa"/>
              <w:bottom w:w="45" w:type="dxa"/>
              <w:end w:w="45" w:type="dxa"/>
            </w:tcMar>
            <w:vAlign w:val="center"/>
          </w:tcPr>
          <w:p>
            <w:r>
              <w:rPr>
                <w:rFonts w:ascii="Aptos" w:hAnsi="Aptos"/>
                <w:sz w:val="13"/>
              </w:rPr>
              <w:t>Impact</w:t>
            </w:r>
          </w:p>
        </w:tc>
        <w:tc>
          <w:tcPr>
            <w:tcW w:type="dxa" w:w="3024"/>
            <w:tcMar>
              <w:top w:w="45" w:type="dxa"/>
              <w:start w:w="45" w:type="dxa"/>
              <w:bottom w:w="45" w:type="dxa"/>
              <w:end w:w="45" w:type="dxa"/>
            </w:tcMar>
            <w:vAlign w:val="center"/>
          </w:tcPr>
          <w:p>
            <w:r>
              <w:rPr>
                <w:rFonts w:ascii="Aptos" w:hAnsi="Aptos"/>
                <w:sz w:val="13"/>
              </w:rPr>
              <w:t>Improved income, resilience and market participation among target producers and SMEs.</w:t>
            </w:r>
          </w:p>
        </w:tc>
        <w:tc>
          <w:tcPr>
            <w:tcW w:type="dxa" w:w="3168"/>
            <w:tcMar>
              <w:top w:w="45" w:type="dxa"/>
              <w:start w:w="45" w:type="dxa"/>
              <w:bottom w:w="45" w:type="dxa"/>
              <w:end w:w="45" w:type="dxa"/>
            </w:tcMar>
            <w:vAlign w:val="center"/>
          </w:tcPr>
          <w:p>
            <w:r>
              <w:rPr>
                <w:rFonts w:ascii="Aptos" w:hAnsi="Aptos"/>
                <w:sz w:val="13"/>
              </w:rPr>
              <w:t>Net-income improvement measured against baseline; at least KES 250 million cumulative facilitated transactions; jobs and enterprises created or sustained.</w:t>
            </w:r>
          </w:p>
        </w:tc>
        <w:tc>
          <w:tcPr>
            <w:tcW w:type="dxa" w:w="2304"/>
            <w:tcMar>
              <w:top w:w="45" w:type="dxa"/>
              <w:start w:w="45" w:type="dxa"/>
              <w:bottom w:w="45" w:type="dxa"/>
              <w:end w:w="45" w:type="dxa"/>
            </w:tcMar>
            <w:vAlign w:val="center"/>
          </w:tcPr>
          <w:p>
            <w:r>
              <w:rPr>
                <w:rFonts w:ascii="Aptos" w:hAnsi="Aptos"/>
                <w:sz w:val="13"/>
              </w:rPr>
              <w:t>Baseline/endline surveys; platform and audited transaction data.</w:t>
            </w:r>
          </w:p>
        </w:tc>
        <w:tc>
          <w:tcPr>
            <w:tcW w:type="dxa" w:w="1152"/>
            <w:tcMar>
              <w:top w:w="45" w:type="dxa"/>
              <w:start w:w="45" w:type="dxa"/>
              <w:bottom w:w="45" w:type="dxa"/>
              <w:end w:w="45" w:type="dxa"/>
            </w:tcMar>
            <w:vAlign w:val="center"/>
          </w:tcPr>
          <w:p>
            <w:r>
              <w:rPr>
                <w:rFonts w:ascii="Aptos" w:hAnsi="Aptos"/>
                <w:sz w:val="13"/>
              </w:rPr>
              <w:t>Baseline, annual, endline</w:t>
            </w:r>
          </w:p>
        </w:tc>
      </w:tr>
      <w:tr>
        <w:tc>
          <w:tcPr>
            <w:tcW w:type="dxa" w:w="1152"/>
            <w:tcMar>
              <w:top w:w="45" w:type="dxa"/>
              <w:start w:w="45" w:type="dxa"/>
              <w:bottom w:w="45" w:type="dxa"/>
              <w:end w:w="45" w:type="dxa"/>
            </w:tcMar>
            <w:vAlign w:val="center"/>
            <w:shd w:fill="F7F9FB"/>
          </w:tcPr>
          <w:p>
            <w:r>
              <w:rPr>
                <w:rFonts w:ascii="Aptos" w:hAnsi="Aptos"/>
                <w:sz w:val="13"/>
              </w:rPr>
              <w:t>Outcome 1</w:t>
            </w:r>
          </w:p>
        </w:tc>
        <w:tc>
          <w:tcPr>
            <w:tcW w:type="dxa" w:w="3024"/>
            <w:tcMar>
              <w:top w:w="45" w:type="dxa"/>
              <w:start w:w="45" w:type="dxa"/>
              <w:bottom w:w="45" w:type="dxa"/>
              <w:end w:w="45" w:type="dxa"/>
            </w:tcMar>
            <w:vAlign w:val="center"/>
            <w:shd w:fill="F7F9FB"/>
          </w:tcPr>
          <w:p>
            <w:r>
              <w:rPr>
                <w:rFonts w:ascii="Aptos" w:hAnsi="Aptos"/>
                <w:sz w:val="13"/>
              </w:rPr>
              <w:t>Functional producer/SME market linkages.</w:t>
            </w:r>
          </w:p>
        </w:tc>
        <w:tc>
          <w:tcPr>
            <w:tcW w:type="dxa" w:w="3168"/>
            <w:tcMar>
              <w:top w:w="45" w:type="dxa"/>
              <w:start w:w="45" w:type="dxa"/>
              <w:bottom w:w="45" w:type="dxa"/>
              <w:end w:w="45" w:type="dxa"/>
            </w:tcMar>
            <w:vAlign w:val="center"/>
            <w:shd w:fill="F7F9FB"/>
          </w:tcPr>
          <w:p>
            <w:r>
              <w:rPr>
                <w:rFonts w:ascii="Aptos" w:hAnsi="Aptos"/>
                <w:sz w:val="13"/>
              </w:rPr>
              <w:t>Infrastructure and service capacity aligned to up to 16,000 active farmers by 2029; at least 120 SMEs; at least 12 producer/aggregation structures; minimum 50% women and 35% youth among direct farmer beneficiaries.</w:t>
            </w:r>
          </w:p>
        </w:tc>
        <w:tc>
          <w:tcPr>
            <w:tcW w:type="dxa" w:w="2304"/>
            <w:tcMar>
              <w:top w:w="45" w:type="dxa"/>
              <w:start w:w="45" w:type="dxa"/>
              <w:bottom w:w="45" w:type="dxa"/>
              <w:end w:w="45" w:type="dxa"/>
            </w:tcMar>
            <w:vAlign w:val="center"/>
            <w:shd w:fill="F7F9FB"/>
          </w:tcPr>
          <w:p>
            <w:r>
              <w:rPr>
                <w:rFonts w:ascii="Aptos" w:hAnsi="Aptos"/>
                <w:sz w:val="13"/>
              </w:rPr>
              <w:t>Registry, signed agreements, cluster records.</w:t>
            </w:r>
          </w:p>
        </w:tc>
        <w:tc>
          <w:tcPr>
            <w:tcW w:type="dxa" w:w="1152"/>
            <w:tcMar>
              <w:top w:w="45" w:type="dxa"/>
              <w:start w:w="45" w:type="dxa"/>
              <w:bottom w:w="45" w:type="dxa"/>
              <w:end w:w="45" w:type="dxa"/>
            </w:tcMar>
            <w:vAlign w:val="center"/>
            <w:shd w:fill="F7F9FB"/>
          </w:tcPr>
          <w:p>
            <w:r>
              <w:rPr>
                <w:rFonts w:ascii="Aptos" w:hAnsi="Aptos"/>
                <w:sz w:val="13"/>
              </w:rPr>
              <w:t>Quarterly</w:t>
            </w:r>
          </w:p>
        </w:tc>
      </w:tr>
      <w:tr>
        <w:tc>
          <w:tcPr>
            <w:tcW w:type="dxa" w:w="1152"/>
            <w:tcMar>
              <w:top w:w="45" w:type="dxa"/>
              <w:start w:w="45" w:type="dxa"/>
              <w:bottom w:w="45" w:type="dxa"/>
              <w:end w:w="45" w:type="dxa"/>
            </w:tcMar>
            <w:vAlign w:val="center"/>
          </w:tcPr>
          <w:p>
            <w:r>
              <w:rPr>
                <w:rFonts w:ascii="Aptos" w:hAnsi="Aptos"/>
                <w:sz w:val="13"/>
              </w:rPr>
              <w:t>Outcome 2</w:t>
            </w:r>
          </w:p>
        </w:tc>
        <w:tc>
          <w:tcPr>
            <w:tcW w:type="dxa" w:w="3024"/>
            <w:tcMar>
              <w:top w:w="45" w:type="dxa"/>
              <w:start w:w="45" w:type="dxa"/>
              <w:bottom w:w="45" w:type="dxa"/>
              <w:end w:w="45" w:type="dxa"/>
            </w:tcMar>
            <w:vAlign w:val="center"/>
          </w:tcPr>
          <w:p>
            <w:r>
              <w:rPr>
                <w:rFonts w:ascii="Aptos" w:hAnsi="Aptos"/>
                <w:sz w:val="13"/>
              </w:rPr>
              <w:t>Improved standards and QA.</w:t>
            </w:r>
          </w:p>
        </w:tc>
        <w:tc>
          <w:tcPr>
            <w:tcW w:type="dxa" w:w="3168"/>
            <w:tcMar>
              <w:top w:w="45" w:type="dxa"/>
              <w:start w:w="45" w:type="dxa"/>
              <w:bottom w:w="45" w:type="dxa"/>
              <w:end w:w="45" w:type="dxa"/>
            </w:tcMar>
            <w:vAlign w:val="center"/>
          </w:tcPr>
          <w:p>
            <w:r>
              <w:rPr>
                <w:rFonts w:ascii="Aptos" w:hAnsi="Aptos"/>
                <w:sz w:val="13"/>
              </w:rPr>
              <w:t>Two QMS/ICS systems operational; at least 3,500 initial compliant producers; buyer-specific assurance scale tied to annual active-farmer gates; lower rejection rate.</w:t>
            </w:r>
          </w:p>
        </w:tc>
        <w:tc>
          <w:tcPr>
            <w:tcW w:type="dxa" w:w="2304"/>
            <w:tcMar>
              <w:top w:w="45" w:type="dxa"/>
              <w:start w:w="45" w:type="dxa"/>
              <w:bottom w:w="45" w:type="dxa"/>
              <w:end w:w="45" w:type="dxa"/>
            </w:tcMar>
            <w:vAlign w:val="center"/>
          </w:tcPr>
          <w:p>
            <w:r>
              <w:rPr>
                <w:rFonts w:ascii="Aptos" w:hAnsi="Aptos"/>
                <w:sz w:val="13"/>
              </w:rPr>
              <w:t>ICS records, audit reports, quality tests.</w:t>
            </w:r>
          </w:p>
        </w:tc>
        <w:tc>
          <w:tcPr>
            <w:tcW w:type="dxa" w:w="1152"/>
            <w:tcMar>
              <w:top w:w="45" w:type="dxa"/>
              <w:start w:w="45" w:type="dxa"/>
              <w:bottom w:w="45" w:type="dxa"/>
              <w:end w:w="45" w:type="dxa"/>
            </w:tcMar>
            <w:vAlign w:val="center"/>
          </w:tcPr>
          <w:p>
            <w:r>
              <w:rPr>
                <w:rFonts w:ascii="Aptos" w:hAnsi="Aptos"/>
                <w:sz w:val="13"/>
              </w:rPr>
              <w:t>Quarterly/seasonal</w:t>
            </w:r>
          </w:p>
        </w:tc>
      </w:tr>
      <w:tr>
        <w:tc>
          <w:tcPr>
            <w:tcW w:type="dxa" w:w="1152"/>
            <w:tcMar>
              <w:top w:w="45" w:type="dxa"/>
              <w:start w:w="45" w:type="dxa"/>
              <w:bottom w:w="45" w:type="dxa"/>
              <w:end w:w="45" w:type="dxa"/>
            </w:tcMar>
            <w:vAlign w:val="center"/>
            <w:shd w:fill="F7F9FB"/>
          </w:tcPr>
          <w:p>
            <w:r>
              <w:rPr>
                <w:rFonts w:ascii="Aptos" w:hAnsi="Aptos"/>
                <w:sz w:val="13"/>
              </w:rPr>
              <w:t>Outcome 3</w:t>
            </w:r>
          </w:p>
        </w:tc>
        <w:tc>
          <w:tcPr>
            <w:tcW w:type="dxa" w:w="3024"/>
            <w:tcMar>
              <w:top w:w="45" w:type="dxa"/>
              <w:start w:w="45" w:type="dxa"/>
              <w:bottom w:w="45" w:type="dxa"/>
              <w:end w:w="45" w:type="dxa"/>
            </w:tcMar>
            <w:vAlign w:val="center"/>
            <w:shd w:fill="F7F9FB"/>
          </w:tcPr>
          <w:p>
            <w:r>
              <w:rPr>
                <w:rFonts w:ascii="Aptos" w:hAnsi="Aptos"/>
                <w:sz w:val="13"/>
              </w:rPr>
              <w:t>Digital traceability operational.</w:t>
            </w:r>
          </w:p>
        </w:tc>
        <w:tc>
          <w:tcPr>
            <w:tcW w:type="dxa" w:w="3168"/>
            <w:tcMar>
              <w:top w:w="45" w:type="dxa"/>
              <w:start w:w="45" w:type="dxa"/>
              <w:bottom w:w="45" w:type="dxa"/>
              <w:end w:w="45" w:type="dxa"/>
            </w:tcMar>
            <w:vAlign w:val="center"/>
            <w:shd w:fill="F7F9FB"/>
          </w:tcPr>
          <w:p>
            <w:r>
              <w:rPr>
                <w:rFonts w:ascii="Aptos" w:hAnsi="Aptos"/>
                <w:sz w:val="13"/>
              </w:rPr>
              <w:t>Modular platform live; GIS, payments, weather, AI, EPCIS-aligned traceability and permissioned-blockchain proofs operational; eligible-event coverage and active users monitored.</w:t>
            </w:r>
          </w:p>
        </w:tc>
        <w:tc>
          <w:tcPr>
            <w:tcW w:type="dxa" w:w="2304"/>
            <w:tcMar>
              <w:top w:w="45" w:type="dxa"/>
              <w:start w:w="45" w:type="dxa"/>
              <w:bottom w:w="45" w:type="dxa"/>
              <w:end w:w="45" w:type="dxa"/>
            </w:tcMar>
            <w:vAlign w:val="center"/>
            <w:shd w:fill="F7F9FB"/>
          </w:tcPr>
          <w:p>
            <w:r>
              <w:rPr>
                <w:rFonts w:ascii="Aptos" w:hAnsi="Aptos"/>
                <w:sz w:val="13"/>
              </w:rPr>
              <w:t>System logs and user audits.</w:t>
            </w:r>
          </w:p>
        </w:tc>
        <w:tc>
          <w:tcPr>
            <w:tcW w:type="dxa" w:w="1152"/>
            <w:tcMar>
              <w:top w:w="45" w:type="dxa"/>
              <w:start w:w="45" w:type="dxa"/>
              <w:bottom w:w="45" w:type="dxa"/>
              <w:end w:w="45" w:type="dxa"/>
            </w:tcMar>
            <w:vAlign w:val="center"/>
            <w:shd w:fill="F7F9FB"/>
          </w:tcPr>
          <w:p>
            <w:r>
              <w:rPr>
                <w:rFonts w:ascii="Aptos" w:hAnsi="Aptos"/>
                <w:sz w:val="13"/>
              </w:rPr>
              <w:t>Monthly</w:t>
            </w:r>
          </w:p>
        </w:tc>
      </w:tr>
      <w:tr>
        <w:tc>
          <w:tcPr>
            <w:tcW w:type="dxa" w:w="1152"/>
            <w:tcMar>
              <w:top w:w="45" w:type="dxa"/>
              <w:start w:w="45" w:type="dxa"/>
              <w:bottom w:w="45" w:type="dxa"/>
              <w:end w:w="45" w:type="dxa"/>
            </w:tcMar>
            <w:vAlign w:val="center"/>
          </w:tcPr>
          <w:p>
            <w:r>
              <w:rPr>
                <w:rFonts w:ascii="Aptos" w:hAnsi="Aptos"/>
                <w:sz w:val="13"/>
              </w:rPr>
              <w:t>Outcome 4</w:t>
            </w:r>
          </w:p>
        </w:tc>
        <w:tc>
          <w:tcPr>
            <w:tcW w:type="dxa" w:w="3024"/>
            <w:tcMar>
              <w:top w:w="45" w:type="dxa"/>
              <w:start w:w="45" w:type="dxa"/>
              <w:bottom w:w="45" w:type="dxa"/>
              <w:end w:w="45" w:type="dxa"/>
            </w:tcMar>
            <w:vAlign w:val="center"/>
          </w:tcPr>
          <w:p>
            <w:r>
              <w:rPr>
                <w:rFonts w:ascii="Aptos" w:hAnsi="Aptos"/>
                <w:sz w:val="13"/>
              </w:rPr>
              <w:t>Diversified production and processing validated.</w:t>
            </w:r>
          </w:p>
        </w:tc>
        <w:tc>
          <w:tcPr>
            <w:tcW w:type="dxa" w:w="3168"/>
            <w:tcMar>
              <w:top w:w="45" w:type="dxa"/>
              <w:start w:w="45" w:type="dxa"/>
              <w:bottom w:w="45" w:type="dxa"/>
              <w:end w:w="45" w:type="dxa"/>
            </w:tcMar>
            <w:vAlign w:val="center"/>
          </w:tcPr>
          <w:p>
            <w:r>
              <w:rPr>
                <w:rFonts w:ascii="Aptos" w:hAnsi="Aptos"/>
                <w:sz w:val="13"/>
              </w:rPr>
              <w:t>At least six structured agreements; four completed export or cross-border transaction cycles; at least KES 250 million cumulative facilitated transactions.</w:t>
            </w:r>
          </w:p>
        </w:tc>
        <w:tc>
          <w:tcPr>
            <w:tcW w:type="dxa" w:w="2304"/>
            <w:tcMar>
              <w:top w:w="45" w:type="dxa"/>
              <w:start w:w="45" w:type="dxa"/>
              <w:bottom w:w="45" w:type="dxa"/>
              <w:end w:w="45" w:type="dxa"/>
            </w:tcMar>
            <w:vAlign w:val="center"/>
          </w:tcPr>
          <w:p>
            <w:r>
              <w:rPr>
                <w:rFonts w:ascii="Aptos" w:hAnsi="Aptos"/>
                <w:sz w:val="13"/>
              </w:rPr>
              <w:t>Trial reports, extension records, farm visits.</w:t>
            </w:r>
          </w:p>
        </w:tc>
        <w:tc>
          <w:tcPr>
            <w:tcW w:type="dxa" w:w="1152"/>
            <w:tcMar>
              <w:top w:w="45" w:type="dxa"/>
              <w:start w:w="45" w:type="dxa"/>
              <w:bottom w:w="45" w:type="dxa"/>
              <w:end w:w="45" w:type="dxa"/>
            </w:tcMar>
            <w:vAlign w:val="center"/>
          </w:tcPr>
          <w:p>
            <w:r>
              <w:rPr>
                <w:rFonts w:ascii="Aptos" w:hAnsi="Aptos"/>
                <w:sz w:val="13"/>
              </w:rPr>
              <w:t>Seasonal</w:t>
            </w:r>
          </w:p>
        </w:tc>
      </w:tr>
      <w:tr>
        <w:tc>
          <w:tcPr>
            <w:tcW w:type="dxa" w:w="1152"/>
            <w:tcMar>
              <w:top w:w="45" w:type="dxa"/>
              <w:start w:w="45" w:type="dxa"/>
              <w:bottom w:w="45" w:type="dxa"/>
              <w:end w:w="45" w:type="dxa"/>
            </w:tcMar>
            <w:vAlign w:val="center"/>
            <w:shd w:fill="F7F9FB"/>
          </w:tcPr>
          <w:p>
            <w:r>
              <w:rPr>
                <w:rFonts w:ascii="Aptos" w:hAnsi="Aptos"/>
                <w:sz w:val="13"/>
              </w:rPr>
              <w:t>Outcome 5</w:t>
            </w:r>
          </w:p>
        </w:tc>
        <w:tc>
          <w:tcPr>
            <w:tcW w:type="dxa" w:w="3024"/>
            <w:tcMar>
              <w:top w:w="45" w:type="dxa"/>
              <w:start w:w="45" w:type="dxa"/>
              <w:bottom w:w="45" w:type="dxa"/>
              <w:end w:w="45" w:type="dxa"/>
            </w:tcMar>
            <w:vAlign w:val="center"/>
            <w:shd w:fill="F7F9FB"/>
          </w:tcPr>
          <w:p>
            <w:r>
              <w:rPr>
                <w:rFonts w:ascii="Aptos" w:hAnsi="Aptos"/>
                <w:sz w:val="13"/>
              </w:rPr>
              <w:t>Inclusive participation.</w:t>
            </w:r>
          </w:p>
        </w:tc>
        <w:tc>
          <w:tcPr>
            <w:tcW w:type="dxa" w:w="3168"/>
            <w:tcMar>
              <w:top w:w="45" w:type="dxa"/>
              <w:start w:w="45" w:type="dxa"/>
              <w:bottom w:w="45" w:type="dxa"/>
              <w:end w:w="45" w:type="dxa"/>
            </w:tcMar>
            <w:vAlign w:val="center"/>
            <w:shd w:fill="F7F9FB"/>
          </w:tcPr>
          <w:p>
            <w:r>
              <w:rPr>
                <w:rFonts w:ascii="Aptos" w:hAnsi="Aptos"/>
                <w:sz w:val="13"/>
              </w:rPr>
              <w:t>At least 50% women and 35% youth among direct farmer beneficiaries; at least 25 women- or youth-led service enterprises; direct registration and payment where applicable.</w:t>
            </w:r>
          </w:p>
        </w:tc>
        <w:tc>
          <w:tcPr>
            <w:tcW w:type="dxa" w:w="2304"/>
            <w:tcMar>
              <w:top w:w="45" w:type="dxa"/>
              <w:start w:w="45" w:type="dxa"/>
              <w:bottom w:w="45" w:type="dxa"/>
              <w:end w:w="45" w:type="dxa"/>
            </w:tcMar>
            <w:vAlign w:val="center"/>
            <w:shd w:fill="F7F9FB"/>
          </w:tcPr>
          <w:p>
            <w:r>
              <w:rPr>
                <w:rFonts w:ascii="Aptos" w:hAnsi="Aptos"/>
                <w:sz w:val="13"/>
              </w:rPr>
              <w:t>Disaggregated registry and enterprise records.</w:t>
            </w:r>
          </w:p>
        </w:tc>
        <w:tc>
          <w:tcPr>
            <w:tcW w:type="dxa" w:w="1152"/>
            <w:tcMar>
              <w:top w:w="45" w:type="dxa"/>
              <w:start w:w="45" w:type="dxa"/>
              <w:bottom w:w="45" w:type="dxa"/>
              <w:end w:w="45" w:type="dxa"/>
            </w:tcMar>
            <w:vAlign w:val="center"/>
            <w:shd w:fill="F7F9FB"/>
          </w:tcPr>
          <w:p>
            <w:r>
              <w:rPr>
                <w:rFonts w:ascii="Aptos" w:hAnsi="Aptos"/>
                <w:sz w:val="13"/>
              </w:rPr>
              <w:t>Quarterly</w:t>
            </w:r>
          </w:p>
        </w:tc>
      </w:tr>
      <w:tr>
        <w:tc>
          <w:tcPr>
            <w:tcW w:type="dxa" w:w="1152"/>
            <w:tcMar>
              <w:top w:w="45" w:type="dxa"/>
              <w:start w:w="45" w:type="dxa"/>
              <w:bottom w:w="45" w:type="dxa"/>
              <w:end w:w="45" w:type="dxa"/>
            </w:tcMar>
            <w:vAlign w:val="center"/>
          </w:tcPr>
          <w:p>
            <w:r>
              <w:rPr>
                <w:rFonts w:ascii="Aptos" w:hAnsi="Aptos"/>
                <w:sz w:val="13"/>
              </w:rPr>
              <w:t>Outcome 6</w:t>
            </w:r>
          </w:p>
        </w:tc>
        <w:tc>
          <w:tcPr>
            <w:tcW w:type="dxa" w:w="3024"/>
            <w:tcMar>
              <w:top w:w="45" w:type="dxa"/>
              <w:start w:w="45" w:type="dxa"/>
              <w:bottom w:w="45" w:type="dxa"/>
              <w:end w:w="45" w:type="dxa"/>
            </w:tcMar>
            <w:vAlign w:val="center"/>
          </w:tcPr>
          <w:p>
            <w:r>
              <w:rPr>
                <w:rFonts w:ascii="Aptos" w:hAnsi="Aptos"/>
                <w:sz w:val="13"/>
              </w:rPr>
              <w:t>Replication readiness.</w:t>
            </w:r>
          </w:p>
        </w:tc>
        <w:tc>
          <w:tcPr>
            <w:tcW w:type="dxa" w:w="3168"/>
            <w:tcMar>
              <w:top w:w="45" w:type="dxa"/>
              <w:start w:w="45" w:type="dxa"/>
              <w:bottom w:w="45" w:type="dxa"/>
              <w:end w:w="45" w:type="dxa"/>
            </w:tcMar>
            <w:vAlign w:val="center"/>
          </w:tcPr>
          <w:p>
            <w:r>
              <w:rPr>
                <w:rFonts w:ascii="Aptos" w:hAnsi="Aptos"/>
                <w:sz w:val="13"/>
              </w:rPr>
              <w:t>Replication package; partner adoption/endorsement; scale-up pipeline.</w:t>
            </w:r>
          </w:p>
        </w:tc>
        <w:tc>
          <w:tcPr>
            <w:tcW w:type="dxa" w:w="2304"/>
            <w:tcMar>
              <w:top w:w="45" w:type="dxa"/>
              <w:start w:w="45" w:type="dxa"/>
              <w:bottom w:w="45" w:type="dxa"/>
              <w:end w:w="45" w:type="dxa"/>
            </w:tcMar>
            <w:vAlign w:val="center"/>
          </w:tcPr>
          <w:p>
            <w:r>
              <w:rPr>
                <w:rFonts w:ascii="Aptos" w:hAnsi="Aptos"/>
                <w:sz w:val="13"/>
              </w:rPr>
              <w:t>Published tools, minutes, expressions of interest.</w:t>
            </w:r>
          </w:p>
        </w:tc>
        <w:tc>
          <w:tcPr>
            <w:tcW w:type="dxa" w:w="1152"/>
            <w:tcMar>
              <w:top w:w="45" w:type="dxa"/>
              <w:start w:w="45" w:type="dxa"/>
              <w:bottom w:w="45" w:type="dxa"/>
              <w:end w:w="45" w:type="dxa"/>
            </w:tcMar>
            <w:vAlign w:val="center"/>
          </w:tcPr>
          <w:p>
            <w:r>
              <w:rPr>
                <w:rFonts w:ascii="Aptos" w:hAnsi="Aptos"/>
                <w:sz w:val="13"/>
              </w:rPr>
              <w:t>Annual/endline</w:t>
            </w:r>
          </w:p>
        </w:tc>
      </w:tr>
    </w:tbl>
    <w:p>
      <w:pPr>
        <w:spacing w:after="0"/>
      </w:pPr>
    </w:p>
    <w:p>
      <w:pPr>
        <w:pStyle w:val="Heading2"/>
        <w:keepNext/>
      </w:pPr>
      <w:r>
        <w:t>11.1 Evaluation design</w:t>
      </w:r>
    </w:p>
    <w:p>
      <w:pPr>
        <w:pStyle w:val="BodyText"/>
      </w:pPr>
      <w:r>
        <w:t>The programme will conduct a baseline, midline review and final evaluation. A cohort approach will track participating and comparison farmers where feasible. Income analysis will distinguish gross sales from net income and account for production costs. Platform data will be reconciled with buyer records, bank or mobile payment references and sample farm visits. Qualitative methods will assess bargaining power, women’s control over income, youth employment, buyer confidence and institutional change.</w:t>
      </w:r>
    </w:p>
    <w:p>
      <w:pPr>
        <w:pStyle w:val="Heading2"/>
        <w:keepNext/>
      </w:pPr>
      <w:r>
        <w:t>11.2 Data-quality assurance</w:t>
      </w:r>
    </w:p>
    <w:p>
      <w:r>
        <w:t>Blockchain monitoring will track eligible-event coverage, endorsement failures, correction events, credential revocations, node availability, latency, key incidents, privacy complaints and the proportion of verification queries resolved without access to confidential source data.</w:t>
      </w:r>
    </w:p>
    <w:p>
      <w:pPr>
        <w:pStyle w:val="ListBullet"/>
      </w:pPr>
      <w:r>
        <w:t>Unique beneficiary and enterprise identifiers with duplicate detection.</w:t>
      </w:r>
    </w:p>
    <w:p>
      <w:pPr>
        <w:pStyle w:val="ListBullet"/>
      </w:pPr>
      <w:r>
        <w:t>Enumerator training, field supervision and spot checks.</w:t>
      </w:r>
    </w:p>
    <w:p>
      <w:pPr>
        <w:pStyle w:val="ListBullet"/>
      </w:pPr>
      <w:r>
        <w:t>Data validation rules and mandatory evidence for key milestones.</w:t>
      </w:r>
    </w:p>
    <w:p>
      <w:pPr>
        <w:pStyle w:val="ListBullet"/>
      </w:pPr>
      <w:r>
        <w:t>Quarterly data-quality assessments and corrective actions.</w:t>
      </w:r>
    </w:p>
    <w:p>
      <w:pPr>
        <w:pStyle w:val="ListBullet"/>
      </w:pPr>
      <w:r>
        <w:t>Independent financial audit and verification of community grants.</w:t>
      </w:r>
    </w:p>
    <w:p>
      <w:pPr>
        <w:pStyle w:val="ListBullet"/>
      </w:pPr>
      <w:r>
        <w:t>Disaggregation by sex, age, county, enterprise type and disability where voluntarily disclosed.</w:t>
      </w:r>
    </w:p>
    <w:p>
      <w:pPr>
        <w:pStyle w:val="Heading1"/>
        <w:keepNext/>
      </w:pPr>
      <w:r>
        <w:t>12. Regulatory, Environmental and Social Compliance</w:t>
      </w:r>
    </w:p>
    <w:p>
      <w:r>
        <w:t>Blockchain records and digital signatures will be designed within applicable Kenyan data-protection, electronic-transactions, evidence, cybersecurity and sector requirements. The legal validity of smart-contract outputs, credentials and cross-border data exchange will be reviewed before production use. EU Digital Product Passport requirements will be validated for each relevant product category and delegated act.</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2880"/>
            <w:shd w:fill="1F4E78"/>
            <w:vAlign w:val="center"/>
            <w:tcMar>
              <w:top w:w="80" w:type="dxa"/>
              <w:start w:w="100" w:type="dxa"/>
              <w:bottom w:w="80" w:type="dxa"/>
              <w:end w:w="100" w:type="dxa"/>
            </w:tcMar>
          </w:tcPr>
          <w:p>
            <w:r>
              <w:t>Area</w:t>
            </w:r>
          </w:p>
        </w:tc>
        <w:tc>
          <w:tcPr>
            <w:tcW w:type="dxa" w:w="3312"/>
            <w:shd w:fill="1F4E78"/>
            <w:vAlign w:val="center"/>
            <w:tcMar>
              <w:top w:w="80" w:type="dxa"/>
              <w:start w:w="100" w:type="dxa"/>
              <w:bottom w:w="80" w:type="dxa"/>
              <w:end w:w="100" w:type="dxa"/>
            </w:tcMar>
          </w:tcPr>
          <w:p>
            <w:r>
              <w:t>Responsible institution(s)</w:t>
            </w:r>
          </w:p>
        </w:tc>
        <w:tc>
          <w:tcPr>
            <w:tcW w:type="dxa" w:w="4320"/>
            <w:shd w:fill="1F4E78"/>
            <w:vAlign w:val="center"/>
            <w:tcMar>
              <w:top w:w="80" w:type="dxa"/>
              <w:start w:w="100" w:type="dxa"/>
              <w:bottom w:w="80" w:type="dxa"/>
              <w:end w:w="100" w:type="dxa"/>
            </w:tcMar>
          </w:tcPr>
          <w:p>
            <w:r>
              <w:t>Programme action</w:t>
            </w:r>
          </w:p>
        </w:tc>
      </w:tr>
      <w:tr>
        <w:tc>
          <w:tcPr>
            <w:tcW w:type="dxa" w:w="2880"/>
            <w:tcMar>
              <w:top w:w="80" w:type="dxa"/>
              <w:start w:w="100" w:type="dxa"/>
              <w:bottom w:w="80" w:type="dxa"/>
              <w:end w:w="100" w:type="dxa"/>
            </w:tcMar>
            <w:vAlign w:val="top"/>
          </w:tcPr>
          <w:p>
            <w:r>
              <w:t>Environmental assessment and licensing</w:t>
            </w:r>
          </w:p>
        </w:tc>
        <w:tc>
          <w:tcPr>
            <w:tcW w:type="dxa" w:w="3312"/>
            <w:tcMar>
              <w:top w:w="80" w:type="dxa"/>
              <w:start w:w="100" w:type="dxa"/>
              <w:bottom w:w="80" w:type="dxa"/>
              <w:end w:w="100" w:type="dxa"/>
            </w:tcMar>
            <w:vAlign w:val="top"/>
          </w:tcPr>
          <w:p>
            <w:r>
              <w:t>NEMA and county environmental authorities</w:t>
            </w:r>
          </w:p>
        </w:tc>
        <w:tc>
          <w:tcPr>
            <w:tcW w:type="dxa" w:w="4320"/>
            <w:tcMar>
              <w:top w:w="80" w:type="dxa"/>
              <w:start w:w="100" w:type="dxa"/>
              <w:bottom w:w="80" w:type="dxa"/>
              <w:end w:w="100" w:type="dxa"/>
            </w:tcMar>
            <w:vAlign w:val="top"/>
          </w:tcPr>
          <w:p>
            <w:r>
              <w:t>Screen sites and activities; complete EIA or other instruments where required; implement ESMPs and audits.</w:t>
            </w:r>
          </w:p>
        </w:tc>
      </w:tr>
      <w:tr>
        <w:tc>
          <w:tcPr>
            <w:tcW w:type="dxa" w:w="2880"/>
            <w:tcMar>
              <w:top w:w="80" w:type="dxa"/>
              <w:start w:w="100" w:type="dxa"/>
              <w:bottom w:w="80" w:type="dxa"/>
              <w:end w:w="100" w:type="dxa"/>
            </w:tcMar>
            <w:vAlign w:val="top"/>
            <w:shd w:fill="EAF2F8"/>
          </w:tcPr>
          <w:p>
            <w:r>
              <w:t>Energy and biodiesel pathway</w:t>
            </w:r>
          </w:p>
        </w:tc>
        <w:tc>
          <w:tcPr>
            <w:tcW w:type="dxa" w:w="3312"/>
            <w:tcMar>
              <w:top w:w="80" w:type="dxa"/>
              <w:start w:w="100" w:type="dxa"/>
              <w:bottom w:w="80" w:type="dxa"/>
              <w:end w:w="100" w:type="dxa"/>
            </w:tcMar>
            <w:vAlign w:val="top"/>
            <w:shd w:fill="EAF2F8"/>
          </w:tcPr>
          <w:p>
            <w:r>
              <w:t>Ministry of Energy and Petroleum; EPRA</w:t>
            </w:r>
          </w:p>
        </w:tc>
        <w:tc>
          <w:tcPr>
            <w:tcW w:type="dxa" w:w="4320"/>
            <w:tcMar>
              <w:top w:w="80" w:type="dxa"/>
              <w:start w:w="100" w:type="dxa"/>
              <w:bottom w:w="80" w:type="dxa"/>
              <w:end w:w="100" w:type="dxa"/>
            </w:tcMar>
            <w:vAlign w:val="top"/>
            <w:shd w:fill="EAF2F8"/>
          </w:tcPr>
          <w:p>
            <w:r>
              <w:t>Confirm licensing, technical, storage, transport, processing and market requirements before operation.</w:t>
            </w:r>
          </w:p>
        </w:tc>
      </w:tr>
      <w:tr>
        <w:tc>
          <w:tcPr>
            <w:tcW w:type="dxa" w:w="2880"/>
            <w:tcMar>
              <w:top w:w="80" w:type="dxa"/>
              <w:start w:w="100" w:type="dxa"/>
              <w:bottom w:w="80" w:type="dxa"/>
              <w:end w:w="100" w:type="dxa"/>
            </w:tcMar>
            <w:vAlign w:val="top"/>
          </w:tcPr>
          <w:p>
            <w:r>
              <w:t>Product and fuel quality</w:t>
            </w:r>
          </w:p>
        </w:tc>
        <w:tc>
          <w:tcPr>
            <w:tcW w:type="dxa" w:w="3312"/>
            <w:tcMar>
              <w:top w:w="80" w:type="dxa"/>
              <w:start w:w="100" w:type="dxa"/>
              <w:bottom w:w="80" w:type="dxa"/>
              <w:end w:w="100" w:type="dxa"/>
            </w:tcMar>
            <w:vAlign w:val="top"/>
          </w:tcPr>
          <w:p>
            <w:r>
              <w:t>KEBS and accredited laboratories</w:t>
            </w:r>
          </w:p>
        </w:tc>
        <w:tc>
          <w:tcPr>
            <w:tcW w:type="dxa" w:w="4320"/>
            <w:tcMar>
              <w:top w:w="80" w:type="dxa"/>
              <w:start w:w="100" w:type="dxa"/>
              <w:bottom w:w="80" w:type="dxa"/>
              <w:end w:w="100" w:type="dxa"/>
            </w:tcMar>
            <w:vAlign w:val="top"/>
          </w:tcPr>
          <w:p>
            <w:r>
              <w:t>Develop specifications and test products against applicable standards before sale or export.</w:t>
            </w:r>
          </w:p>
        </w:tc>
      </w:tr>
      <w:tr>
        <w:tc>
          <w:tcPr>
            <w:tcW w:type="dxa" w:w="2880"/>
            <w:tcMar>
              <w:top w:w="80" w:type="dxa"/>
              <w:start w:w="100" w:type="dxa"/>
              <w:bottom w:w="80" w:type="dxa"/>
              <w:end w:w="100" w:type="dxa"/>
            </w:tcMar>
            <w:vAlign w:val="top"/>
            <w:shd w:fill="EAF2F8"/>
          </w:tcPr>
          <w:p>
            <w:r>
              <w:t>Crop, seed and plant health</w:t>
            </w:r>
          </w:p>
        </w:tc>
        <w:tc>
          <w:tcPr>
            <w:tcW w:type="dxa" w:w="3312"/>
            <w:tcMar>
              <w:top w:w="80" w:type="dxa"/>
              <w:start w:w="100" w:type="dxa"/>
              <w:bottom w:w="80" w:type="dxa"/>
              <w:end w:w="100" w:type="dxa"/>
            </w:tcMar>
            <w:vAlign w:val="top"/>
            <w:shd w:fill="EAF2F8"/>
          </w:tcPr>
          <w:p>
            <w:r>
              <w:t>Ministry of Agriculture, AFA, KEPHIS, KALRO</w:t>
            </w:r>
          </w:p>
        </w:tc>
        <w:tc>
          <w:tcPr>
            <w:tcW w:type="dxa" w:w="4320"/>
            <w:tcMar>
              <w:top w:w="80" w:type="dxa"/>
              <w:start w:w="100" w:type="dxa"/>
              <w:bottom w:w="80" w:type="dxa"/>
              <w:end w:w="100" w:type="dxa"/>
            </w:tcMar>
            <w:vAlign w:val="top"/>
            <w:shd w:fill="EAF2F8"/>
          </w:tcPr>
          <w:p>
            <w:r>
              <w:t>Use approved planting material, phytosanitary procedures and evidence-based agronomic protocols.</w:t>
            </w:r>
          </w:p>
        </w:tc>
      </w:tr>
      <w:tr>
        <w:tc>
          <w:tcPr>
            <w:tcW w:type="dxa" w:w="2880"/>
            <w:tcMar>
              <w:top w:w="80" w:type="dxa"/>
              <w:start w:w="100" w:type="dxa"/>
              <w:bottom w:w="80" w:type="dxa"/>
              <w:end w:w="100" w:type="dxa"/>
            </w:tcMar>
            <w:vAlign w:val="top"/>
          </w:tcPr>
          <w:p>
            <w:r>
              <w:t>Occupational safety and health</w:t>
            </w:r>
          </w:p>
        </w:tc>
        <w:tc>
          <w:tcPr>
            <w:tcW w:type="dxa" w:w="3312"/>
            <w:tcMar>
              <w:top w:w="80" w:type="dxa"/>
              <w:start w:w="100" w:type="dxa"/>
              <w:bottom w:w="80" w:type="dxa"/>
              <w:end w:w="100" w:type="dxa"/>
            </w:tcMar>
            <w:vAlign w:val="top"/>
          </w:tcPr>
          <w:p>
            <w:r>
              <w:t>DOSHS, county fire and public-health functions</w:t>
            </w:r>
          </w:p>
        </w:tc>
        <w:tc>
          <w:tcPr>
            <w:tcW w:type="dxa" w:w="4320"/>
            <w:tcMar>
              <w:top w:w="80" w:type="dxa"/>
              <w:start w:w="100" w:type="dxa"/>
              <w:bottom w:w="80" w:type="dxa"/>
              <w:end w:w="100" w:type="dxa"/>
            </w:tcMar>
            <w:vAlign w:val="top"/>
          </w:tcPr>
          <w:p>
            <w:r>
              <w:t>Risk assessments, PPE, training, fire controls, incident reporting and inspections.</w:t>
            </w:r>
          </w:p>
        </w:tc>
      </w:tr>
      <w:tr>
        <w:tc>
          <w:tcPr>
            <w:tcW w:type="dxa" w:w="2880"/>
            <w:tcMar>
              <w:top w:w="80" w:type="dxa"/>
              <w:start w:w="100" w:type="dxa"/>
              <w:bottom w:w="80" w:type="dxa"/>
              <w:end w:w="100" w:type="dxa"/>
            </w:tcMar>
            <w:vAlign w:val="top"/>
            <w:shd w:fill="EAF2F8"/>
          </w:tcPr>
          <w:p>
            <w:r>
              <w:t>Data protection</w:t>
            </w:r>
          </w:p>
        </w:tc>
        <w:tc>
          <w:tcPr>
            <w:tcW w:type="dxa" w:w="3312"/>
            <w:tcMar>
              <w:top w:w="80" w:type="dxa"/>
              <w:start w:w="100" w:type="dxa"/>
              <w:bottom w:w="80" w:type="dxa"/>
              <w:end w:w="100" w:type="dxa"/>
            </w:tcMar>
            <w:vAlign w:val="top"/>
            <w:shd w:fill="EAF2F8"/>
          </w:tcPr>
          <w:p>
            <w:r>
              <w:t>Office of the Data Protection Commissioner and applicable law</w:t>
            </w:r>
          </w:p>
        </w:tc>
        <w:tc>
          <w:tcPr>
            <w:tcW w:type="dxa" w:w="4320"/>
            <w:tcMar>
              <w:top w:w="80" w:type="dxa"/>
              <w:start w:w="100" w:type="dxa"/>
              <w:bottom w:w="80" w:type="dxa"/>
              <w:end w:w="100" w:type="dxa"/>
            </w:tcMar>
            <w:vAlign w:val="top"/>
            <w:shd w:fill="EAF2F8"/>
          </w:tcPr>
          <w:p>
            <w:r>
              <w:t>Consent, data minimisation, contracts, security, access and breach response.</w:t>
            </w:r>
          </w:p>
        </w:tc>
      </w:tr>
      <w:tr>
        <w:tc>
          <w:tcPr>
            <w:tcW w:type="dxa" w:w="2880"/>
            <w:tcMar>
              <w:top w:w="80" w:type="dxa"/>
              <w:start w:w="100" w:type="dxa"/>
              <w:bottom w:w="80" w:type="dxa"/>
              <w:end w:w="100" w:type="dxa"/>
            </w:tcMar>
            <w:vAlign w:val="top"/>
          </w:tcPr>
          <w:p>
            <w:r>
              <w:t>Land and construction</w:t>
            </w:r>
          </w:p>
        </w:tc>
        <w:tc>
          <w:tcPr>
            <w:tcW w:type="dxa" w:w="3312"/>
            <w:tcMar>
              <w:top w:w="80" w:type="dxa"/>
              <w:start w:w="100" w:type="dxa"/>
              <w:bottom w:w="80" w:type="dxa"/>
              <w:end w:w="100" w:type="dxa"/>
            </w:tcMar>
            <w:vAlign w:val="top"/>
          </w:tcPr>
          <w:p>
            <w:r>
              <w:t>County governments and land authorities</w:t>
            </w:r>
          </w:p>
        </w:tc>
        <w:tc>
          <w:tcPr>
            <w:tcW w:type="dxa" w:w="4320"/>
            <w:tcMar>
              <w:top w:w="80" w:type="dxa"/>
              <w:start w:w="100" w:type="dxa"/>
              <w:bottom w:w="80" w:type="dxa"/>
              <w:end w:w="100" w:type="dxa"/>
            </w:tcMar>
            <w:vAlign w:val="top"/>
          </w:tcPr>
          <w:p>
            <w:r>
              <w:t>Confirm land rights, development permissions and building approvals.</w:t>
            </w:r>
          </w:p>
        </w:tc>
      </w:tr>
      <w:tr>
        <w:tc>
          <w:tcPr>
            <w:tcW w:type="dxa" w:w="2880"/>
            <w:tcMar>
              <w:top w:w="80" w:type="dxa"/>
              <w:start w:w="100" w:type="dxa"/>
              <w:bottom w:w="80" w:type="dxa"/>
              <w:end w:w="100" w:type="dxa"/>
            </w:tcMar>
            <w:vAlign w:val="top"/>
            <w:shd w:fill="EAF2F8"/>
          </w:tcPr>
          <w:p>
            <w:r>
              <w:t>Export and customs</w:t>
            </w:r>
          </w:p>
        </w:tc>
        <w:tc>
          <w:tcPr>
            <w:tcW w:type="dxa" w:w="3312"/>
            <w:tcMar>
              <w:top w:w="80" w:type="dxa"/>
              <w:start w:w="100" w:type="dxa"/>
              <w:bottom w:w="80" w:type="dxa"/>
              <w:end w:w="100" w:type="dxa"/>
            </w:tcMar>
            <w:vAlign w:val="top"/>
            <w:shd w:fill="EAF2F8"/>
          </w:tcPr>
          <w:p>
            <w:r>
              <w:t>Relevant trade, customs and port authorities</w:t>
            </w:r>
          </w:p>
        </w:tc>
        <w:tc>
          <w:tcPr>
            <w:tcW w:type="dxa" w:w="4320"/>
            <w:tcMar>
              <w:top w:w="80" w:type="dxa"/>
              <w:start w:w="100" w:type="dxa"/>
              <w:bottom w:w="80" w:type="dxa"/>
              <w:end w:w="100" w:type="dxa"/>
            </w:tcMar>
            <w:vAlign w:val="top"/>
            <w:shd w:fill="EAF2F8"/>
          </w:tcPr>
          <w:p>
            <w:r>
              <w:t>Comply with documentation, origin, quality, phytosanitary and logistics requirements.</w:t>
            </w:r>
          </w:p>
        </w:tc>
      </w:tr>
    </w:tbl>
    <w:p>
      <w:pPr>
        <w:spacing w:after="0"/>
      </w:pPr>
    </w:p>
    <w:p>
      <w:pPr>
        <w:pStyle w:val="Heading2"/>
        <w:keepNext/>
      </w:pPr>
      <w:r>
        <w:t>12.1 Environmental and social management priorities</w:t>
      </w:r>
    </w:p>
    <w:p>
      <w:pPr>
        <w:pStyle w:val="ListBullet"/>
      </w:pPr>
      <w:r>
        <w:t>Prevent conversion of protected areas, forests or high-conservation-value land.</w:t>
      </w:r>
    </w:p>
    <w:p>
      <w:pPr>
        <w:pStyle w:val="ListBullet"/>
      </w:pPr>
      <w:r>
        <w:t>Prioritise existing farms, boundaries and suitable marginal land; avoid displacement of food crops.</w:t>
      </w:r>
    </w:p>
    <w:p>
      <w:pPr>
        <w:pStyle w:val="ListBullet"/>
      </w:pPr>
      <w:r>
        <w:t>Use water-efficient practices and monitor water demand at processing sites.</w:t>
      </w:r>
    </w:p>
    <w:p>
      <w:pPr>
        <w:pStyle w:val="ListBullet"/>
      </w:pPr>
      <w:r>
        <w:t>Control hazardous materials, methanol/catalyst use, effluent, glycerol, contaminated containers and fire risks in biodiesel-related trials.</w:t>
      </w:r>
    </w:p>
    <w:p>
      <w:pPr>
        <w:pStyle w:val="ListBullet"/>
      </w:pPr>
      <w:r>
        <w:t>Assess invasive-species risks before promoting any oilseed tree or crop.</w:t>
      </w:r>
    </w:p>
    <w:p>
      <w:pPr>
        <w:pStyle w:val="ListBullet"/>
      </w:pPr>
      <w:r>
        <w:t>Monitor labour conditions, community health and safety, gender impacts and land-use conflicts.</w:t>
      </w:r>
    </w:p>
    <w:p>
      <w:pPr>
        <w:pStyle w:val="ListBullet"/>
      </w:pPr>
      <w:r>
        <w:t>Maintain emergency response and incident-reporting procedures.</w:t>
      </w:r>
    </w:p>
    <w:p>
      <w:pPr>
        <w:pStyle w:val="Heading1"/>
        <w:keepNext/>
      </w:pPr>
      <w:r>
        <w:t>13. Market Development and Commercialisation Plan</w:t>
      </w:r>
    </w:p>
    <w:p>
      <w:pPr>
        <w:pStyle w:val="Heading2"/>
        <w:keepNext/>
      </w:pPr>
      <w:r>
        <w:t>13.1 Cotton and fashion pathway</w:t>
      </w:r>
    </w:p>
    <w:p>
      <w:pPr>
        <w:pStyle w:val="BodyText"/>
      </w:pPr>
      <w:r>
        <w:t>The cotton pathway will link registered farmers and clusters to ginning, fibre quality assessment, textile production and garment manufacture. Labl Group East Africa’s Sagalla facility will demonstrate small-batch, transparent production and provide samples and commercial runs for Kenyan, Dutch and wider European Union buyers. Labl Fashion B.V. will provide the initial European interface and coordinate buyer intelligence, design feedback and market linkage across EU member states. The project will pursue multiple buyers and countries; commercial decisions will be based on tested quality, price, delivery reliability and buyer demand rather than assumed export premiums.</w:t>
      </w:r>
    </w:p>
    <w:p>
      <w:r>
        <w:t>Labl Fashion will prepare DPP-ready product identities linking authorised composition, origin, quality, care, repair, return and circularity evidence. The blockchain layer will verify selected provenance and credential proofs; the full product passport remains decentralised and controlled by the responsible economic operator.</w:t>
      </w:r>
    </w:p>
    <w:p>
      <w:pPr>
        <w:pStyle w:val="Heading2"/>
        <w:keepNext/>
      </w:pPr>
      <w:r>
        <w:t>13.2 Renewable-oil and biodiesel pathway</w:t>
      </w:r>
    </w:p>
    <w:p>
      <w:pPr>
        <w:pStyle w:val="BodyText"/>
      </w:pPr>
      <w:r>
        <w:t>Crostar Energy will aggregate cottonseed and approved oilseed feedstocks, validate extraction and processing economics and establish purchase arrangements with farmers and SMEs. Biodiesel-related processing and sale will proceed only after the required environmental, energy, product-quality and safety approvals. UCO may complement crop-based feedstock, but grant-funded activities will distinguish waste collection, oil extraction and finished-fuel operations and will not represent unlicensed production as operational.</w:t>
      </w:r>
    </w:p>
    <w:p>
      <w:pPr>
        <w:pStyle w:val="Heading2"/>
        <w:keepNext/>
      </w:pPr>
      <w:r>
        <w:t>13.3 Farmer food and local markets</w:t>
      </w:r>
    </w:p>
    <w:p>
      <w:pPr>
        <w:pStyle w:val="BodyText"/>
      </w:pPr>
      <w:r>
        <w:t>Vegetable and fruit production will be integrated into training and demonstration plans. The first objective is household food and nutrition security. Surplus may be aggregated for local markets, hospitality businesses, schools and institutions. Food activities will be measured separately from cotton and industrial oilseed outcomes so that the project can demonstrate whether diversification reduces household vulnerability.</w:t>
      </w:r>
    </w:p>
    <w:p>
      <w:pPr>
        <w:pStyle w:val="Heading2"/>
        <w:keepNext/>
      </w:pPr>
      <w:r>
        <w:t>13.4 Pricing and contracting principles</w:t>
      </w:r>
    </w:p>
    <w:p>
      <w:pPr>
        <w:pStyle w:val="ListBullet"/>
      </w:pPr>
      <w:r>
        <w:t>Written specifications and transparent grading.</w:t>
      </w:r>
    </w:p>
    <w:p>
      <w:pPr>
        <w:pStyle w:val="ListBullet"/>
      </w:pPr>
      <w:r>
        <w:t>Pre-season or pre-delivery communication of pricing formulas.</w:t>
      </w:r>
    </w:p>
    <w:p>
      <w:pPr>
        <w:pStyle w:val="ListBullet"/>
      </w:pPr>
      <w:r>
        <w:t>No automatic exclusivity unless voluntarily negotiated and commercially justified.</w:t>
      </w:r>
    </w:p>
    <w:p>
      <w:pPr>
        <w:pStyle w:val="ListBullet"/>
      </w:pPr>
      <w:r>
        <w:t>Clear timelines for delivery acceptance and payment.</w:t>
      </w:r>
    </w:p>
    <w:p>
      <w:pPr>
        <w:pStyle w:val="ListBullet"/>
      </w:pPr>
      <w:r>
        <w:t>Dispute and appeal mechanisms for grading and deductions.</w:t>
      </w:r>
    </w:p>
    <w:p>
      <w:pPr>
        <w:pStyle w:val="ListBullet"/>
      </w:pPr>
      <w:r>
        <w:t>Buyer and seller performance histories captured in the platform.</w:t>
      </w:r>
    </w:p>
    <w:p>
      <w:pPr>
        <w:pStyle w:val="Heading2"/>
      </w:pPr>
      <w:r>
        <w:t>13.5 Netherlands Gateway and Wider European Union Market Strategy</w:t>
      </w:r>
    </w:p>
    <w:p>
      <w:r>
        <w:t>AfriEuro Links will not treat the Netherlands as the only European destination. It will use the Dutch corporate connection as a practical entry point into the wider European Union market. The consortium will prepare a segmented EU market pipeline covering small and medium fashion brands, sustainable textile buyers, importers, private-label partners, renewable-feedstock users, logistics providers and investors. Each prospective relationship will be assessed against product specifications, volumes, price, traceability, sustainability, customs, logistics and payment risk. The digital platform will support buyer-specific data exports and chain-of-custody evidence while protecting personal and commercially confidential information. This multi-country strategy is intended to expand trade and investment opportunities, reduce dependence on any one off-taker and strengthen both Dutch earning capacity and inclusive Kenya–EU economic growth.</w:t>
      </w:r>
    </w:p>
    <w:p>
      <w:pPr>
        <w:pStyle w:val="Heading1"/>
        <w:keepNext/>
      </w:pPr>
      <w:r>
        <w:t>14. Sustainability, Exit and Scale Strategy</w:t>
      </w:r>
    </w:p>
    <w:p>
      <w:pPr>
        <w:pStyle w:val="BodyText"/>
      </w:pPr>
      <w:r>
        <w:t>Sustainability will be based on recurring commercial demand, not continued subsidy. AfriEuro Links will transition into a global marketing and verification site; LaDOS and CEOS will remain independent but interoperable; and the permissioned blockchain will operate only if transaction volume, assurance value and partner contributions justify its cost. Node hosting, key management, monitoring, smart-contract maintenance and security review will be assigned to approved owners with service levels and cost recovery.</w:t>
      </w:r>
    </w:p>
    <w:p>
      <w:pPr>
        <w:pStyle w:val="BodyText"/>
      </w:pPr>
      <w:r>
        <w:t>During the grant period, the consortium will test a cost-recovery model combining modest transaction charges, aggregation-service fees, buyer contributions to testing and traceability, cooperative service contributions and commercial margins from processing. Basic farmer registration will remain affordable, while larger commercial users will contribute to advanced traceability, reporting and integration services. Certification costs will progressively shift from grant finance to co-financing among producer groups, processors and buyers.</w:t>
      </w:r>
    </w:p>
    <w:p>
      <w:pPr>
        <w:pStyle w:val="BodyText"/>
      </w:pPr>
      <w:r>
        <w:t>Local inspectors, data officers, cooperative leaders, county extension workers and enterprise mentors will be trained to operate the system. Before close-out, the consortium will agree ownership, licensing, maintenance, data-governance and support arrangements for the platform and manuals; establish triggers for financing storage and processing based on verified volumes and contracts; and document a replication package that preserves food-security, environmental and inclusion safeguards.</w:t>
      </w:r>
    </w:p>
    <w:p>
      <w:pPr>
        <w:pStyle w:val="Heading2"/>
        <w:keepNext/>
      </w:pPr>
      <w:r>
        <w:t>14.1 Exit milestones</w:t>
      </w:r>
    </w:p>
    <w:tbl>
      <w:tblPr>
        <w:tblStyle w:val="TableGrid"/>
        <w:tblW w:type="auto" w:w="0"/>
        <w:jc w:val="center"/>
        <w:tblLook w:firstColumn="1" w:firstRow="1" w:lastColumn="0" w:lastRow="0" w:noHBand="0" w:noVBand="1" w:val="04A0"/>
      </w:tblPr>
      <w:tblGrid>
        <w:gridCol w:w="5040"/>
        <w:gridCol w:w="5040"/>
      </w:tblGrid>
      <w:tr>
        <w:trPr>
          <w:tblHeader w:val="true"/>
        </w:trPr>
        <w:tc>
          <w:tcPr>
            <w:tcW w:type="dxa" w:w="7920"/>
            <w:shd w:fill="1F4E78"/>
            <w:vAlign w:val="center"/>
            <w:tcMar>
              <w:top w:w="80" w:type="dxa"/>
              <w:start w:w="100" w:type="dxa"/>
              <w:bottom w:w="80" w:type="dxa"/>
              <w:end w:w="100" w:type="dxa"/>
            </w:tcMar>
          </w:tcPr>
          <w:p>
            <w:r>
              <w:t>Milestone</w:t>
            </w:r>
          </w:p>
        </w:tc>
        <w:tc>
          <w:tcPr>
            <w:tcW w:type="dxa" w:w="2592"/>
            <w:shd w:fill="1F4E78"/>
            <w:vAlign w:val="center"/>
            <w:tcMar>
              <w:top w:w="80" w:type="dxa"/>
              <w:start w:w="100" w:type="dxa"/>
              <w:bottom w:w="80" w:type="dxa"/>
              <w:end w:w="100" w:type="dxa"/>
            </w:tcMar>
          </w:tcPr>
          <w:p>
            <w:r>
              <w:t>Target timing</w:t>
            </w:r>
          </w:p>
        </w:tc>
      </w:tr>
      <w:tr>
        <w:tc>
          <w:tcPr>
            <w:tcW w:type="dxa" w:w="7920"/>
            <w:tcMar>
              <w:top w:w="80" w:type="dxa"/>
              <w:start w:w="100" w:type="dxa"/>
              <w:bottom w:w="80" w:type="dxa"/>
              <w:end w:w="100" w:type="dxa"/>
            </w:tcMar>
            <w:vAlign w:val="top"/>
          </w:tcPr>
          <w:p>
            <w:r>
              <w:t>Cost-recovery model for platform and QA services approved</w:t>
            </w:r>
          </w:p>
        </w:tc>
        <w:tc>
          <w:tcPr>
            <w:tcW w:type="dxa" w:w="2592"/>
            <w:tcMar>
              <w:top w:w="80" w:type="dxa"/>
              <w:start w:w="100" w:type="dxa"/>
              <w:bottom w:w="80" w:type="dxa"/>
              <w:end w:w="100" w:type="dxa"/>
            </w:tcMar>
            <w:vAlign w:val="top"/>
          </w:tcPr>
          <w:p>
            <w:r>
              <w:t>By Month 18</w:t>
            </w:r>
          </w:p>
        </w:tc>
      </w:tr>
      <w:tr>
        <w:tc>
          <w:tcPr>
            <w:tcW w:type="dxa" w:w="7920"/>
            <w:tcMar>
              <w:top w:w="80" w:type="dxa"/>
              <w:start w:w="100" w:type="dxa"/>
              <w:bottom w:w="80" w:type="dxa"/>
              <w:end w:w="100" w:type="dxa"/>
            </w:tcMar>
            <w:vAlign w:val="top"/>
            <w:shd w:fill="EAF2F8"/>
          </w:tcPr>
          <w:p>
            <w:r>
              <w:t>At least three clusters covering routine operating costs</w:t>
            </w:r>
          </w:p>
        </w:tc>
        <w:tc>
          <w:tcPr>
            <w:tcW w:type="dxa" w:w="2592"/>
            <w:tcMar>
              <w:top w:w="80" w:type="dxa"/>
              <w:start w:w="100" w:type="dxa"/>
              <w:bottom w:w="80" w:type="dxa"/>
              <w:end w:w="100" w:type="dxa"/>
            </w:tcMar>
            <w:vAlign w:val="top"/>
            <w:shd w:fill="EAF2F8"/>
          </w:tcPr>
          <w:p>
            <w:r>
              <w:t>By Month 27</w:t>
            </w:r>
          </w:p>
        </w:tc>
      </w:tr>
      <w:tr>
        <w:tc>
          <w:tcPr>
            <w:tcW w:type="dxa" w:w="7920"/>
            <w:tcMar>
              <w:top w:w="80" w:type="dxa"/>
              <w:start w:w="100" w:type="dxa"/>
              <w:bottom w:w="80" w:type="dxa"/>
              <w:end w:w="100" w:type="dxa"/>
            </w:tcMar>
            <w:vAlign w:val="top"/>
          </w:tcPr>
          <w:p>
            <w:r>
              <w:t>Buyer contribution to testing/traceability established</w:t>
            </w:r>
          </w:p>
        </w:tc>
        <w:tc>
          <w:tcPr>
            <w:tcW w:type="dxa" w:w="2592"/>
            <w:tcMar>
              <w:top w:w="80" w:type="dxa"/>
              <w:start w:w="100" w:type="dxa"/>
              <w:bottom w:w="80" w:type="dxa"/>
              <w:end w:w="100" w:type="dxa"/>
            </w:tcMar>
            <w:vAlign w:val="top"/>
          </w:tcPr>
          <w:p>
            <w:r>
              <w:t>By Month 30</w:t>
            </w:r>
          </w:p>
        </w:tc>
      </w:tr>
      <w:tr>
        <w:tc>
          <w:tcPr>
            <w:tcW w:type="dxa" w:w="7920"/>
            <w:tcMar>
              <w:top w:w="80" w:type="dxa"/>
              <w:start w:w="100" w:type="dxa"/>
              <w:bottom w:w="80" w:type="dxa"/>
              <w:end w:w="100" w:type="dxa"/>
            </w:tcMar>
            <w:vAlign w:val="top"/>
            <w:shd w:fill="EAF2F8"/>
          </w:tcPr>
          <w:p>
            <w:r>
              <w:t>County extension and replication commitments documented</w:t>
            </w:r>
          </w:p>
        </w:tc>
        <w:tc>
          <w:tcPr>
            <w:tcW w:type="dxa" w:w="2592"/>
            <w:tcMar>
              <w:top w:w="80" w:type="dxa"/>
              <w:start w:w="100" w:type="dxa"/>
              <w:bottom w:w="80" w:type="dxa"/>
              <w:end w:w="100" w:type="dxa"/>
            </w:tcMar>
            <w:vAlign w:val="top"/>
            <w:shd w:fill="EAF2F8"/>
          </w:tcPr>
          <w:p>
            <w:r>
              <w:t>By Month 33</w:t>
            </w:r>
          </w:p>
        </w:tc>
      </w:tr>
      <w:tr>
        <w:tc>
          <w:tcPr>
            <w:tcW w:type="dxa" w:w="7920"/>
            <w:tcMar>
              <w:top w:w="80" w:type="dxa"/>
              <w:start w:w="100" w:type="dxa"/>
              <w:bottom w:w="80" w:type="dxa"/>
              <w:end w:w="100" w:type="dxa"/>
            </w:tcMar>
            <w:vAlign w:val="top"/>
          </w:tcPr>
          <w:p>
            <w:r>
              <w:t>System handover, licensing and support arrangements agreed</w:t>
            </w:r>
          </w:p>
        </w:tc>
        <w:tc>
          <w:tcPr>
            <w:tcW w:type="dxa" w:w="2592"/>
            <w:tcMar>
              <w:top w:w="80" w:type="dxa"/>
              <w:start w:w="100" w:type="dxa"/>
              <w:bottom w:w="80" w:type="dxa"/>
              <w:end w:w="100" w:type="dxa"/>
            </w:tcMar>
            <w:vAlign w:val="top"/>
          </w:tcPr>
          <w:p>
            <w:r>
              <w:t>By Month 34</w:t>
            </w:r>
          </w:p>
        </w:tc>
      </w:tr>
      <w:tr>
        <w:tc>
          <w:tcPr>
            <w:tcW w:type="dxa" w:w="7920"/>
            <w:tcMar>
              <w:top w:w="80" w:type="dxa"/>
              <w:start w:w="100" w:type="dxa"/>
              <w:bottom w:w="80" w:type="dxa"/>
              <w:end w:w="100" w:type="dxa"/>
            </w:tcMar>
            <w:vAlign w:val="top"/>
            <w:shd w:fill="EAF2F8"/>
          </w:tcPr>
          <w:p>
            <w:r>
              <w:t>Final replication and investment package completed</w:t>
            </w:r>
          </w:p>
        </w:tc>
        <w:tc>
          <w:tcPr>
            <w:tcW w:type="dxa" w:w="2592"/>
            <w:tcMar>
              <w:top w:w="80" w:type="dxa"/>
              <w:start w:w="100" w:type="dxa"/>
              <w:bottom w:w="80" w:type="dxa"/>
              <w:end w:w="100" w:type="dxa"/>
            </w:tcMar>
            <w:vAlign w:val="top"/>
            <w:shd w:fill="EAF2F8"/>
          </w:tcPr>
          <w:p>
            <w:r>
              <w:t>By Month 36</w:t>
            </w:r>
          </w:p>
        </w:tc>
      </w:tr>
    </w:tbl>
    <w:p>
      <w:pPr>
        <w:spacing w:after="0"/>
      </w:pPr>
    </w:p>
    <w:p>
      <w:pPr>
        <w:pStyle w:val="Heading2"/>
        <w:keepNext/>
      </w:pPr>
      <w:r>
        <w:t>14.2 Replication geography</w:t>
      </w:r>
    </w:p>
    <w:p>
      <w:pPr>
        <w:pStyle w:val="BodyText"/>
      </w:pPr>
      <w:r>
        <w:t>Following validation in Taita Taveta and Kilifi, the model may be adapted for the 21 counties reporting cotton production in the AFA data used by the concept note: Lamu, Meru, Busia, Siaya, Homa Bay, Baringo, Kitui, Tharaka Nithi, Taita Taveta, Kilifi, Makueni, Kisumu, Elgeyo Marakwet, Kwale, Embu, Machakos, Bungoma, Kirinyaga, Migori, Murang'a and Tana River. Renewable-oilseed replication will initially consider Baringo, Makueni, Nakuru, Mombasa and Kilifi and will expand only where technical, environmental, land-use, food-security and buyer assessments confirm suitability. Regional expansion to Tanzania and Uganda will occur only after the Kenya model is proven and will require separate legal, institutional, market and environmental assessment.</w:t>
      </w:r>
    </w:p>
    <w:p>
      <w:pPr>
        <w:pStyle w:val="Heading1"/>
        <w:keepNext/>
      </w:pPr>
      <w:r>
        <w:t>15. Risk Management</w:t>
      </w:r>
    </w:p>
    <w:tbl>
      <w:tblPr>
        <w:tblStyle w:val="TableGrid"/>
        <w:tblW w:type="auto" w:w="0"/>
        <w:jc w:val="center"/>
        <w:tblLook w:firstColumn="1" w:firstRow="1" w:lastColumn="0" w:lastRow="0" w:noHBand="0" w:noVBand="1" w:val="04A0"/>
      </w:tblPr>
      <w:tblGrid>
        <w:gridCol w:w="2520"/>
        <w:gridCol w:w="2520"/>
        <w:gridCol w:w="2520"/>
        <w:gridCol w:w="2520"/>
      </w:tblGrid>
      <w:tr>
        <w:trPr>
          <w:tblHeader w:val="true"/>
          <w:tblHeader w:val="true"/>
        </w:trPr>
        <w:tc>
          <w:tcPr>
            <w:tcW w:type="dxa" w:w="3024"/>
            <w:shd w:fill="17375E"/>
            <w:vAlign w:val="center"/>
            <w:tcMar>
              <w:top w:w="50" w:type="dxa"/>
              <w:start w:w="50" w:type="dxa"/>
              <w:bottom w:w="50" w:type="dxa"/>
              <w:end w:w="50" w:type="dxa"/>
            </w:tcMar>
          </w:tcPr>
          <w:p>
            <w:r>
              <w:rPr>
                <w:rFonts w:ascii="Aptos" w:hAnsi="Aptos"/>
                <w:b/>
                <w:color w:val="FFFFFF"/>
                <w:sz w:val="14"/>
              </w:rPr>
              <w:t>Risk</w:t>
            </w:r>
          </w:p>
        </w:tc>
        <w:tc>
          <w:tcPr>
            <w:tcW w:type="dxa" w:w="1152"/>
            <w:shd w:fill="17375E"/>
            <w:vAlign w:val="center"/>
            <w:tcMar>
              <w:top w:w="50" w:type="dxa"/>
              <w:start w:w="50" w:type="dxa"/>
              <w:bottom w:w="50" w:type="dxa"/>
              <w:end w:w="50" w:type="dxa"/>
            </w:tcMar>
          </w:tcPr>
          <w:p>
            <w:r>
              <w:rPr>
                <w:rFonts w:ascii="Aptos" w:hAnsi="Aptos"/>
                <w:b/>
                <w:color w:val="FFFFFF"/>
                <w:sz w:val="14"/>
              </w:rPr>
              <w:t>Likelihood</w:t>
            </w:r>
          </w:p>
        </w:tc>
        <w:tc>
          <w:tcPr>
            <w:tcW w:type="dxa" w:w="1008"/>
            <w:shd w:fill="17375E"/>
            <w:vAlign w:val="center"/>
            <w:tcMar>
              <w:top w:w="50" w:type="dxa"/>
              <w:start w:w="50" w:type="dxa"/>
              <w:bottom w:w="50" w:type="dxa"/>
              <w:end w:w="50" w:type="dxa"/>
            </w:tcMar>
          </w:tcPr>
          <w:p>
            <w:r>
              <w:rPr>
                <w:rFonts w:ascii="Aptos" w:hAnsi="Aptos"/>
                <w:b/>
                <w:color w:val="FFFFFF"/>
                <w:sz w:val="14"/>
              </w:rPr>
              <w:t>Impact</w:t>
            </w:r>
          </w:p>
        </w:tc>
        <w:tc>
          <w:tcPr>
            <w:tcW w:type="dxa" w:w="5328"/>
            <w:shd w:fill="17375E"/>
            <w:vAlign w:val="center"/>
            <w:tcMar>
              <w:top w:w="50" w:type="dxa"/>
              <w:start w:w="50" w:type="dxa"/>
              <w:bottom w:w="50" w:type="dxa"/>
              <w:end w:w="50" w:type="dxa"/>
            </w:tcMar>
          </w:tcPr>
          <w:p>
            <w:r>
              <w:rPr>
                <w:rFonts w:ascii="Aptos" w:hAnsi="Aptos"/>
                <w:b/>
                <w:color w:val="FFFFFF"/>
                <w:sz w:val="14"/>
              </w:rPr>
              <w:t>Mitigation</w:t>
            </w:r>
          </w:p>
        </w:tc>
      </w:tr>
      <w:tr>
        <w:trPr>
          <w:cantSplit/>
        </w:trPr>
        <w:tc>
          <w:tcPr>
            <w:tcW w:type="dxa" w:w="3024"/>
            <w:tcMar>
              <w:top w:w="50" w:type="dxa"/>
              <w:start w:w="50" w:type="dxa"/>
              <w:bottom w:w="50" w:type="dxa"/>
              <w:end w:w="50" w:type="dxa"/>
            </w:tcMar>
            <w:vAlign w:val="center"/>
          </w:tcPr>
          <w:p>
            <w:r>
              <w:rPr>
                <w:rFonts w:ascii="Aptos" w:hAnsi="Aptos"/>
                <w:sz w:val="14"/>
              </w:rPr>
              <w:t>Farmer uptake below target</w:t>
            </w:r>
          </w:p>
        </w:tc>
        <w:tc>
          <w:tcPr>
            <w:tcW w:type="dxa" w:w="1152"/>
            <w:tcMar>
              <w:top w:w="50" w:type="dxa"/>
              <w:start w:w="50" w:type="dxa"/>
              <w:bottom w:w="50" w:type="dxa"/>
              <w:end w:w="50" w:type="dxa"/>
            </w:tcMar>
            <w:vAlign w:val="center"/>
          </w:tcPr>
          <w:p>
            <w:r>
              <w:rPr>
                <w:rFonts w:ascii="Aptos" w:hAnsi="Aptos"/>
                <w:sz w:val="14"/>
              </w:rPr>
              <w:t>Medium</w:t>
            </w:r>
          </w:p>
        </w:tc>
        <w:tc>
          <w:tcPr>
            <w:tcW w:type="dxa" w:w="1008"/>
            <w:tcMar>
              <w:top w:w="50" w:type="dxa"/>
              <w:start w:w="50" w:type="dxa"/>
              <w:bottom w:w="50" w:type="dxa"/>
              <w:end w:w="50" w:type="dxa"/>
            </w:tcMar>
            <w:vAlign w:val="center"/>
          </w:tcPr>
          <w:p>
            <w:r>
              <w:rPr>
                <w:rFonts w:ascii="Aptos" w:hAnsi="Aptos"/>
                <w:sz w:val="14"/>
              </w:rPr>
              <w:t>High</w:t>
            </w:r>
          </w:p>
        </w:tc>
        <w:tc>
          <w:tcPr>
            <w:tcW w:type="dxa" w:w="5328"/>
            <w:tcMar>
              <w:top w:w="50" w:type="dxa"/>
              <w:start w:w="50" w:type="dxa"/>
              <w:bottom w:w="50" w:type="dxa"/>
              <w:end w:w="50" w:type="dxa"/>
            </w:tcMar>
            <w:vAlign w:val="center"/>
          </w:tcPr>
          <w:p>
            <w:r>
              <w:rPr>
                <w:rFonts w:ascii="Aptos" w:hAnsi="Aptos"/>
                <w:sz w:val="14"/>
              </w:rPr>
              <w:t>Demand-led mobilisation; clear contracts; phased expansion; demonstration and peer learning.</w:t>
            </w:r>
          </w:p>
        </w:tc>
      </w:tr>
      <w:tr>
        <w:trPr>
          <w:cantSplit/>
        </w:trPr>
        <w:tc>
          <w:tcPr>
            <w:tcW w:type="dxa" w:w="3024"/>
            <w:tcMar>
              <w:top w:w="50" w:type="dxa"/>
              <w:start w:w="50" w:type="dxa"/>
              <w:bottom w:w="50" w:type="dxa"/>
              <w:end w:w="50" w:type="dxa"/>
            </w:tcMar>
            <w:vAlign w:val="center"/>
            <w:shd w:fill="F7F9FB"/>
          </w:tcPr>
          <w:p>
            <w:r>
              <w:rPr>
                <w:rFonts w:ascii="Aptos" w:hAnsi="Aptos"/>
                <w:sz w:val="14"/>
              </w:rPr>
              <w:t>Poor yields or climate shocks</w:t>
            </w:r>
          </w:p>
        </w:tc>
        <w:tc>
          <w:tcPr>
            <w:tcW w:type="dxa" w:w="1152"/>
            <w:tcMar>
              <w:top w:w="50" w:type="dxa"/>
              <w:start w:w="50" w:type="dxa"/>
              <w:bottom w:w="50" w:type="dxa"/>
              <w:end w:w="50" w:type="dxa"/>
            </w:tcMar>
            <w:vAlign w:val="center"/>
            <w:shd w:fill="F7F9FB"/>
          </w:tcPr>
          <w:p>
            <w:r>
              <w:rPr>
                <w:rFonts w:ascii="Aptos" w:hAnsi="Aptos"/>
                <w:sz w:val="14"/>
              </w:rPr>
              <w:t>High</w:t>
            </w:r>
          </w:p>
        </w:tc>
        <w:tc>
          <w:tcPr>
            <w:tcW w:type="dxa" w:w="1008"/>
            <w:tcMar>
              <w:top w:w="50" w:type="dxa"/>
              <w:start w:w="50" w:type="dxa"/>
              <w:bottom w:w="50" w:type="dxa"/>
              <w:end w:w="50" w:type="dxa"/>
            </w:tcMar>
            <w:vAlign w:val="center"/>
            <w:shd w:fill="F7F9FB"/>
          </w:tcPr>
          <w:p>
            <w:r>
              <w:rPr>
                <w:rFonts w:ascii="Aptos" w:hAnsi="Aptos"/>
                <w:sz w:val="14"/>
              </w:rPr>
              <w:t>High</w:t>
            </w:r>
          </w:p>
        </w:tc>
        <w:tc>
          <w:tcPr>
            <w:tcW w:type="dxa" w:w="5328"/>
            <w:tcMar>
              <w:top w:w="50" w:type="dxa"/>
              <w:start w:w="50" w:type="dxa"/>
              <w:bottom w:w="50" w:type="dxa"/>
              <w:end w:w="50" w:type="dxa"/>
            </w:tcMar>
            <w:vAlign w:val="center"/>
            <w:shd w:fill="F7F9FB"/>
          </w:tcPr>
          <w:p>
            <w:r>
              <w:rPr>
                <w:rFonts w:ascii="Aptos" w:hAnsi="Aptos"/>
                <w:sz w:val="14"/>
              </w:rPr>
              <w:t>Diversified crops, regenerative practices, drought planning, geographic spread and realistic forecasts.</w:t>
            </w:r>
          </w:p>
        </w:tc>
      </w:tr>
      <w:tr>
        <w:trPr>
          <w:cantSplit/>
        </w:trPr>
        <w:tc>
          <w:tcPr>
            <w:tcW w:type="dxa" w:w="3024"/>
            <w:tcMar>
              <w:top w:w="50" w:type="dxa"/>
              <w:start w:w="50" w:type="dxa"/>
              <w:bottom w:w="50" w:type="dxa"/>
              <w:end w:w="50" w:type="dxa"/>
            </w:tcMar>
            <w:vAlign w:val="center"/>
          </w:tcPr>
          <w:p>
            <w:r>
              <w:rPr>
                <w:rFonts w:ascii="Aptos" w:hAnsi="Aptos"/>
                <w:sz w:val="14"/>
              </w:rPr>
              <w:t>Buyer demand or price volatility</w:t>
            </w:r>
          </w:p>
        </w:tc>
        <w:tc>
          <w:tcPr>
            <w:tcW w:type="dxa" w:w="1152"/>
            <w:tcMar>
              <w:top w:w="50" w:type="dxa"/>
              <w:start w:w="50" w:type="dxa"/>
              <w:bottom w:w="50" w:type="dxa"/>
              <w:end w:w="50" w:type="dxa"/>
            </w:tcMar>
            <w:vAlign w:val="center"/>
          </w:tcPr>
          <w:p>
            <w:r>
              <w:rPr>
                <w:rFonts w:ascii="Aptos" w:hAnsi="Aptos"/>
                <w:sz w:val="14"/>
              </w:rPr>
              <w:t>Medium</w:t>
            </w:r>
          </w:p>
        </w:tc>
        <w:tc>
          <w:tcPr>
            <w:tcW w:type="dxa" w:w="1008"/>
            <w:tcMar>
              <w:top w:w="50" w:type="dxa"/>
              <w:start w:w="50" w:type="dxa"/>
              <w:bottom w:w="50" w:type="dxa"/>
              <w:end w:w="50" w:type="dxa"/>
            </w:tcMar>
            <w:vAlign w:val="center"/>
          </w:tcPr>
          <w:p>
            <w:r>
              <w:rPr>
                <w:rFonts w:ascii="Aptos" w:hAnsi="Aptos"/>
                <w:sz w:val="14"/>
              </w:rPr>
              <w:t>High</w:t>
            </w:r>
          </w:p>
        </w:tc>
        <w:tc>
          <w:tcPr>
            <w:tcW w:type="dxa" w:w="5328"/>
            <w:tcMar>
              <w:top w:w="50" w:type="dxa"/>
              <w:start w:w="50" w:type="dxa"/>
              <w:bottom w:w="50" w:type="dxa"/>
              <w:end w:w="50" w:type="dxa"/>
            </w:tcMar>
            <w:vAlign w:val="center"/>
          </w:tcPr>
          <w:p>
            <w:r>
              <w:rPr>
                <w:rFonts w:ascii="Aptos" w:hAnsi="Aptos"/>
                <w:sz w:val="14"/>
              </w:rPr>
              <w:t>Multiple buyers, flexible volumes, local and export channels, no single-buyer dependency.</w:t>
            </w:r>
          </w:p>
        </w:tc>
      </w:tr>
      <w:tr>
        <w:trPr>
          <w:cantSplit/>
        </w:trPr>
        <w:tc>
          <w:tcPr>
            <w:tcW w:type="dxa" w:w="3024"/>
            <w:tcMar>
              <w:top w:w="50" w:type="dxa"/>
              <w:start w:w="50" w:type="dxa"/>
              <w:bottom w:w="50" w:type="dxa"/>
              <w:end w:w="50" w:type="dxa"/>
            </w:tcMar>
            <w:vAlign w:val="center"/>
            <w:shd w:fill="F7F9FB"/>
          </w:tcPr>
          <w:p>
            <w:r>
              <w:rPr>
                <w:rFonts w:ascii="Aptos" w:hAnsi="Aptos"/>
                <w:sz w:val="14"/>
              </w:rPr>
              <w:t>Quality failure or rejection</w:t>
            </w:r>
          </w:p>
        </w:tc>
        <w:tc>
          <w:tcPr>
            <w:tcW w:type="dxa" w:w="1152"/>
            <w:tcMar>
              <w:top w:w="50" w:type="dxa"/>
              <w:start w:w="50" w:type="dxa"/>
              <w:bottom w:w="50" w:type="dxa"/>
              <w:end w:w="50" w:type="dxa"/>
            </w:tcMar>
            <w:vAlign w:val="center"/>
            <w:shd w:fill="F7F9FB"/>
          </w:tcPr>
          <w:p>
            <w:r>
              <w:rPr>
                <w:rFonts w:ascii="Aptos" w:hAnsi="Aptos"/>
                <w:sz w:val="14"/>
              </w:rPr>
              <w:t>Medium</w:t>
            </w:r>
          </w:p>
        </w:tc>
        <w:tc>
          <w:tcPr>
            <w:tcW w:type="dxa" w:w="1008"/>
            <w:tcMar>
              <w:top w:w="50" w:type="dxa"/>
              <w:start w:w="50" w:type="dxa"/>
              <w:bottom w:w="50" w:type="dxa"/>
              <w:end w:w="50" w:type="dxa"/>
            </w:tcMar>
            <w:vAlign w:val="center"/>
            <w:shd w:fill="F7F9FB"/>
          </w:tcPr>
          <w:p>
            <w:r>
              <w:rPr>
                <w:rFonts w:ascii="Aptos" w:hAnsi="Aptos"/>
                <w:sz w:val="14"/>
              </w:rPr>
              <w:t>High</w:t>
            </w:r>
          </w:p>
        </w:tc>
        <w:tc>
          <w:tcPr>
            <w:tcW w:type="dxa" w:w="5328"/>
            <w:tcMar>
              <w:top w:w="50" w:type="dxa"/>
              <w:start w:w="50" w:type="dxa"/>
              <w:bottom w:w="50" w:type="dxa"/>
              <w:end w:w="50" w:type="dxa"/>
            </w:tcMar>
            <w:vAlign w:val="center"/>
            <w:shd w:fill="F7F9FB"/>
          </w:tcPr>
          <w:p>
            <w:r>
              <w:rPr>
                <w:rFonts w:ascii="Aptos" w:hAnsi="Aptos"/>
                <w:sz w:val="14"/>
              </w:rPr>
              <w:t>ICS, training, testing, corrective action, staged pilot consignments.</w:t>
            </w:r>
          </w:p>
        </w:tc>
      </w:tr>
      <w:tr>
        <w:trPr>
          <w:cantSplit/>
        </w:trPr>
        <w:tc>
          <w:tcPr>
            <w:tcW w:type="dxa" w:w="3024"/>
            <w:tcMar>
              <w:top w:w="50" w:type="dxa"/>
              <w:start w:w="50" w:type="dxa"/>
              <w:bottom w:w="50" w:type="dxa"/>
              <w:end w:w="50" w:type="dxa"/>
            </w:tcMar>
            <w:vAlign w:val="center"/>
          </w:tcPr>
          <w:p>
            <w:r>
              <w:rPr>
                <w:rFonts w:ascii="Aptos" w:hAnsi="Aptos"/>
                <w:sz w:val="14"/>
              </w:rPr>
              <w:t>Regulatory delay for biodiesel activities</w:t>
            </w:r>
          </w:p>
        </w:tc>
        <w:tc>
          <w:tcPr>
            <w:tcW w:type="dxa" w:w="1152"/>
            <w:tcMar>
              <w:top w:w="50" w:type="dxa"/>
              <w:start w:w="50" w:type="dxa"/>
              <w:bottom w:w="50" w:type="dxa"/>
              <w:end w:w="50" w:type="dxa"/>
            </w:tcMar>
            <w:vAlign w:val="center"/>
          </w:tcPr>
          <w:p>
            <w:r>
              <w:rPr>
                <w:rFonts w:ascii="Aptos" w:hAnsi="Aptos"/>
                <w:sz w:val="14"/>
              </w:rPr>
              <w:t>Medium</w:t>
            </w:r>
          </w:p>
        </w:tc>
        <w:tc>
          <w:tcPr>
            <w:tcW w:type="dxa" w:w="1008"/>
            <w:tcMar>
              <w:top w:w="50" w:type="dxa"/>
              <w:start w:w="50" w:type="dxa"/>
              <w:bottom w:w="50" w:type="dxa"/>
              <w:end w:w="50" w:type="dxa"/>
            </w:tcMar>
            <w:vAlign w:val="center"/>
          </w:tcPr>
          <w:p>
            <w:r>
              <w:rPr>
                <w:rFonts w:ascii="Aptos" w:hAnsi="Aptos"/>
                <w:sz w:val="14"/>
              </w:rPr>
              <w:t>High</w:t>
            </w:r>
          </w:p>
        </w:tc>
        <w:tc>
          <w:tcPr>
            <w:tcW w:type="dxa" w:w="5328"/>
            <w:tcMar>
              <w:top w:w="50" w:type="dxa"/>
              <w:start w:w="50" w:type="dxa"/>
              <w:bottom w:w="50" w:type="dxa"/>
              <w:end w:w="50" w:type="dxa"/>
            </w:tcMar>
            <w:vAlign w:val="center"/>
          </w:tcPr>
          <w:p>
            <w:r>
              <w:rPr>
                <w:rFonts w:ascii="Aptos" w:hAnsi="Aptos"/>
                <w:sz w:val="14"/>
              </w:rPr>
              <w:t>Early NEMA/EPRA/KEBS engagement; modular implementation; do not commit to unapproved operations.</w:t>
            </w:r>
          </w:p>
        </w:tc>
      </w:tr>
      <w:tr>
        <w:trPr>
          <w:cantSplit/>
        </w:trPr>
        <w:tc>
          <w:tcPr>
            <w:tcW w:type="dxa" w:w="3024"/>
            <w:tcMar>
              <w:top w:w="50" w:type="dxa"/>
              <w:start w:w="50" w:type="dxa"/>
              <w:bottom w:w="50" w:type="dxa"/>
              <w:end w:w="50" w:type="dxa"/>
            </w:tcMar>
            <w:vAlign w:val="center"/>
            <w:shd w:fill="F7F9FB"/>
          </w:tcPr>
          <w:p>
            <w:r>
              <w:rPr>
                <w:rFonts w:ascii="Aptos" w:hAnsi="Aptos"/>
                <w:sz w:val="14"/>
              </w:rPr>
              <w:t>Digital system failure or low adoption</w:t>
            </w:r>
          </w:p>
        </w:tc>
        <w:tc>
          <w:tcPr>
            <w:tcW w:type="dxa" w:w="1152"/>
            <w:tcMar>
              <w:top w:w="50" w:type="dxa"/>
              <w:start w:w="50" w:type="dxa"/>
              <w:bottom w:w="50" w:type="dxa"/>
              <w:end w:w="50" w:type="dxa"/>
            </w:tcMar>
            <w:vAlign w:val="center"/>
            <w:shd w:fill="F7F9FB"/>
          </w:tcPr>
          <w:p>
            <w:r>
              <w:rPr>
                <w:rFonts w:ascii="Aptos" w:hAnsi="Aptos"/>
                <w:sz w:val="14"/>
              </w:rPr>
              <w:t>Medium</w:t>
            </w:r>
          </w:p>
        </w:tc>
        <w:tc>
          <w:tcPr>
            <w:tcW w:type="dxa" w:w="1008"/>
            <w:tcMar>
              <w:top w:w="50" w:type="dxa"/>
              <w:start w:w="50" w:type="dxa"/>
              <w:bottom w:w="50" w:type="dxa"/>
              <w:end w:w="50" w:type="dxa"/>
            </w:tcMar>
            <w:vAlign w:val="center"/>
            <w:shd w:fill="F7F9FB"/>
          </w:tcPr>
          <w:p>
            <w:r>
              <w:rPr>
                <w:rFonts w:ascii="Aptos" w:hAnsi="Aptos"/>
                <w:sz w:val="14"/>
              </w:rPr>
              <w:t>High</w:t>
            </w:r>
          </w:p>
        </w:tc>
        <w:tc>
          <w:tcPr>
            <w:tcW w:type="dxa" w:w="5328"/>
            <w:tcMar>
              <w:top w:w="50" w:type="dxa"/>
              <w:start w:w="50" w:type="dxa"/>
              <w:bottom w:w="50" w:type="dxa"/>
              <w:end w:w="50" w:type="dxa"/>
            </w:tcMar>
            <w:vAlign w:val="center"/>
            <w:shd w:fill="F7F9FB"/>
          </w:tcPr>
          <w:p>
            <w:r>
              <w:rPr>
                <w:rFonts w:ascii="Aptos" w:hAnsi="Aptos"/>
                <w:sz w:val="14"/>
              </w:rPr>
              <w:t>User-centred design, offline capability, staged rollout, training, SLA, backups and independent acceptance testing.</w:t>
            </w:r>
          </w:p>
        </w:tc>
      </w:tr>
      <w:tr>
        <w:trPr>
          <w:cantSplit/>
        </w:trPr>
        <w:tc>
          <w:tcPr>
            <w:tcW w:type="dxa" w:w="3024"/>
            <w:tcMar>
              <w:top w:w="50" w:type="dxa"/>
              <w:start w:w="50" w:type="dxa"/>
              <w:bottom w:w="50" w:type="dxa"/>
              <w:end w:w="50" w:type="dxa"/>
            </w:tcMar>
            <w:vAlign w:val="center"/>
          </w:tcPr>
          <w:p>
            <w:r>
              <w:rPr>
                <w:rFonts w:ascii="Aptos" w:hAnsi="Aptos"/>
                <w:sz w:val="14"/>
              </w:rPr>
              <w:t>Data breach or misuse</w:t>
            </w:r>
          </w:p>
        </w:tc>
        <w:tc>
          <w:tcPr>
            <w:tcW w:type="dxa" w:w="1152"/>
            <w:tcMar>
              <w:top w:w="50" w:type="dxa"/>
              <w:start w:w="50" w:type="dxa"/>
              <w:bottom w:w="50" w:type="dxa"/>
              <w:end w:w="50" w:type="dxa"/>
            </w:tcMar>
            <w:vAlign w:val="center"/>
          </w:tcPr>
          <w:p>
            <w:r>
              <w:rPr>
                <w:rFonts w:ascii="Aptos" w:hAnsi="Aptos"/>
                <w:sz w:val="14"/>
              </w:rPr>
              <w:t>Low/Medium</w:t>
            </w:r>
          </w:p>
        </w:tc>
        <w:tc>
          <w:tcPr>
            <w:tcW w:type="dxa" w:w="1008"/>
            <w:tcMar>
              <w:top w:w="50" w:type="dxa"/>
              <w:start w:w="50" w:type="dxa"/>
              <w:bottom w:w="50" w:type="dxa"/>
              <w:end w:w="50" w:type="dxa"/>
            </w:tcMar>
            <w:vAlign w:val="center"/>
          </w:tcPr>
          <w:p>
            <w:r>
              <w:rPr>
                <w:rFonts w:ascii="Aptos" w:hAnsi="Aptos"/>
                <w:sz w:val="14"/>
              </w:rPr>
              <w:t>High</w:t>
            </w:r>
          </w:p>
        </w:tc>
        <w:tc>
          <w:tcPr>
            <w:tcW w:type="dxa" w:w="5328"/>
            <w:tcMar>
              <w:top w:w="50" w:type="dxa"/>
              <w:start w:w="50" w:type="dxa"/>
              <w:bottom w:w="50" w:type="dxa"/>
              <w:end w:w="50" w:type="dxa"/>
            </w:tcMar>
            <w:vAlign w:val="center"/>
          </w:tcPr>
          <w:p>
            <w:r>
              <w:rPr>
                <w:rFonts w:ascii="Aptos" w:hAnsi="Aptos"/>
                <w:sz w:val="14"/>
              </w:rPr>
              <w:t>Privacy-by-design, access controls, encryption, incident response and contracts.</w:t>
            </w:r>
          </w:p>
        </w:tc>
      </w:tr>
      <w:tr>
        <w:trPr>
          <w:cantSplit/>
        </w:trPr>
        <w:tc>
          <w:tcPr>
            <w:tcW w:type="dxa" w:w="3024"/>
            <w:tcMar>
              <w:top w:w="50" w:type="dxa"/>
              <w:start w:w="50" w:type="dxa"/>
              <w:bottom w:w="50" w:type="dxa"/>
              <w:end w:w="50" w:type="dxa"/>
            </w:tcMar>
            <w:vAlign w:val="center"/>
            <w:shd w:fill="F7F9FB"/>
          </w:tcPr>
          <w:p>
            <w:r>
              <w:rPr>
                <w:rFonts w:ascii="Aptos" w:hAnsi="Aptos"/>
                <w:sz w:val="14"/>
              </w:rPr>
              <w:t>Community-grant misuse</w:t>
            </w:r>
          </w:p>
        </w:tc>
        <w:tc>
          <w:tcPr>
            <w:tcW w:type="dxa" w:w="1152"/>
            <w:tcMar>
              <w:top w:w="50" w:type="dxa"/>
              <w:start w:w="50" w:type="dxa"/>
              <w:bottom w:w="50" w:type="dxa"/>
              <w:end w:w="50" w:type="dxa"/>
            </w:tcMar>
            <w:vAlign w:val="center"/>
            <w:shd w:fill="F7F9FB"/>
          </w:tcPr>
          <w:p>
            <w:r>
              <w:rPr>
                <w:rFonts w:ascii="Aptos" w:hAnsi="Aptos"/>
                <w:sz w:val="14"/>
              </w:rPr>
              <w:t>Medium</w:t>
            </w:r>
          </w:p>
        </w:tc>
        <w:tc>
          <w:tcPr>
            <w:tcW w:type="dxa" w:w="1008"/>
            <w:tcMar>
              <w:top w:w="50" w:type="dxa"/>
              <w:start w:w="50" w:type="dxa"/>
              <w:bottom w:w="50" w:type="dxa"/>
              <w:end w:w="50" w:type="dxa"/>
            </w:tcMar>
            <w:vAlign w:val="center"/>
            <w:shd w:fill="F7F9FB"/>
          </w:tcPr>
          <w:p>
            <w:r>
              <w:rPr>
                <w:rFonts w:ascii="Aptos" w:hAnsi="Aptos"/>
                <w:sz w:val="14"/>
              </w:rPr>
              <w:t>High</w:t>
            </w:r>
          </w:p>
        </w:tc>
        <w:tc>
          <w:tcPr>
            <w:tcW w:type="dxa" w:w="5328"/>
            <w:tcMar>
              <w:top w:w="50" w:type="dxa"/>
              <w:start w:w="50" w:type="dxa"/>
              <w:bottom w:w="50" w:type="dxa"/>
              <w:end w:w="50" w:type="dxa"/>
            </w:tcMar>
            <w:vAlign w:val="center"/>
            <w:shd w:fill="F7F9FB"/>
          </w:tcPr>
          <w:p>
            <w:r>
              <w:rPr>
                <w:rFonts w:ascii="Aptos" w:hAnsi="Aptos"/>
                <w:sz w:val="14"/>
              </w:rPr>
              <w:t>Due diligence, milestones, segregation of duties, verification, audit and recovery provisions.</w:t>
            </w:r>
          </w:p>
        </w:tc>
      </w:tr>
      <w:tr>
        <w:trPr>
          <w:cantSplit/>
        </w:trPr>
        <w:tc>
          <w:tcPr>
            <w:tcW w:type="dxa" w:w="3024"/>
            <w:tcMar>
              <w:top w:w="50" w:type="dxa"/>
              <w:start w:w="50" w:type="dxa"/>
              <w:bottom w:w="50" w:type="dxa"/>
              <w:end w:w="50" w:type="dxa"/>
            </w:tcMar>
            <w:vAlign w:val="center"/>
          </w:tcPr>
          <w:p>
            <w:r>
              <w:rPr>
                <w:rFonts w:ascii="Aptos" w:hAnsi="Aptos"/>
                <w:sz w:val="14"/>
              </w:rPr>
              <w:t>Elite capture or exclusion</w:t>
            </w:r>
          </w:p>
        </w:tc>
        <w:tc>
          <w:tcPr>
            <w:tcW w:type="dxa" w:w="1152"/>
            <w:tcMar>
              <w:top w:w="50" w:type="dxa"/>
              <w:start w:w="50" w:type="dxa"/>
              <w:bottom w:w="50" w:type="dxa"/>
              <w:end w:w="50" w:type="dxa"/>
            </w:tcMar>
            <w:vAlign w:val="center"/>
          </w:tcPr>
          <w:p>
            <w:r>
              <w:rPr>
                <w:rFonts w:ascii="Aptos" w:hAnsi="Aptos"/>
                <w:sz w:val="14"/>
              </w:rPr>
              <w:t>Medium</w:t>
            </w:r>
          </w:p>
        </w:tc>
        <w:tc>
          <w:tcPr>
            <w:tcW w:type="dxa" w:w="1008"/>
            <w:tcMar>
              <w:top w:w="50" w:type="dxa"/>
              <w:start w:w="50" w:type="dxa"/>
              <w:bottom w:w="50" w:type="dxa"/>
              <w:end w:w="50" w:type="dxa"/>
            </w:tcMar>
            <w:vAlign w:val="center"/>
          </w:tcPr>
          <w:p>
            <w:r>
              <w:rPr>
                <w:rFonts w:ascii="Aptos" w:hAnsi="Aptos"/>
                <w:sz w:val="14"/>
              </w:rPr>
              <w:t>High</w:t>
            </w:r>
          </w:p>
        </w:tc>
        <w:tc>
          <w:tcPr>
            <w:tcW w:type="dxa" w:w="5328"/>
            <w:tcMar>
              <w:top w:w="50" w:type="dxa"/>
              <w:start w:w="50" w:type="dxa"/>
              <w:bottom w:w="50" w:type="dxa"/>
              <w:end w:w="50" w:type="dxa"/>
            </w:tcMar>
            <w:vAlign w:val="center"/>
          </w:tcPr>
          <w:p>
            <w:r>
              <w:rPr>
                <w:rFonts w:ascii="Aptos" w:hAnsi="Aptos"/>
                <w:sz w:val="14"/>
              </w:rPr>
              <w:t>Transparent criteria, quotas, public lists, grievances and independent checks.</w:t>
            </w:r>
          </w:p>
        </w:tc>
      </w:tr>
      <w:tr>
        <w:trPr>
          <w:cantSplit/>
        </w:trPr>
        <w:tc>
          <w:tcPr>
            <w:tcW w:type="dxa" w:w="3024"/>
            <w:tcMar>
              <w:top w:w="50" w:type="dxa"/>
              <w:start w:w="50" w:type="dxa"/>
              <w:bottom w:w="50" w:type="dxa"/>
              <w:end w:w="50" w:type="dxa"/>
            </w:tcMar>
            <w:vAlign w:val="center"/>
            <w:shd w:fill="F7F9FB"/>
          </w:tcPr>
          <w:p>
            <w:r>
              <w:rPr>
                <w:rFonts w:ascii="Aptos" w:hAnsi="Aptos"/>
                <w:sz w:val="14"/>
              </w:rPr>
              <w:t>Land or environmental conflict</w:t>
            </w:r>
          </w:p>
        </w:tc>
        <w:tc>
          <w:tcPr>
            <w:tcW w:type="dxa" w:w="1152"/>
            <w:tcMar>
              <w:top w:w="50" w:type="dxa"/>
              <w:start w:w="50" w:type="dxa"/>
              <w:bottom w:w="50" w:type="dxa"/>
              <w:end w:w="50" w:type="dxa"/>
            </w:tcMar>
            <w:vAlign w:val="center"/>
            <w:shd w:fill="F7F9FB"/>
          </w:tcPr>
          <w:p>
            <w:r>
              <w:rPr>
                <w:rFonts w:ascii="Aptos" w:hAnsi="Aptos"/>
                <w:sz w:val="14"/>
              </w:rPr>
              <w:t>Low/Medium</w:t>
            </w:r>
          </w:p>
        </w:tc>
        <w:tc>
          <w:tcPr>
            <w:tcW w:type="dxa" w:w="1008"/>
            <w:tcMar>
              <w:top w:w="50" w:type="dxa"/>
              <w:start w:w="50" w:type="dxa"/>
              <w:bottom w:w="50" w:type="dxa"/>
              <w:end w:w="50" w:type="dxa"/>
            </w:tcMar>
            <w:vAlign w:val="center"/>
            <w:shd w:fill="F7F9FB"/>
          </w:tcPr>
          <w:p>
            <w:r>
              <w:rPr>
                <w:rFonts w:ascii="Aptos" w:hAnsi="Aptos"/>
                <w:sz w:val="14"/>
              </w:rPr>
              <w:t>High</w:t>
            </w:r>
          </w:p>
        </w:tc>
        <w:tc>
          <w:tcPr>
            <w:tcW w:type="dxa" w:w="5328"/>
            <w:tcMar>
              <w:top w:w="50" w:type="dxa"/>
              <w:start w:w="50" w:type="dxa"/>
              <w:bottom w:w="50" w:type="dxa"/>
              <w:end w:w="50" w:type="dxa"/>
            </w:tcMar>
            <w:vAlign w:val="center"/>
            <w:shd w:fill="F7F9FB"/>
          </w:tcPr>
          <w:p>
            <w:r>
              <w:rPr>
                <w:rFonts w:ascii="Aptos" w:hAnsi="Aptos"/>
                <w:sz w:val="14"/>
              </w:rPr>
              <w:t>No involuntary acquisition; screening, consultation, ESMP and grievance mechanism.</w:t>
            </w:r>
          </w:p>
        </w:tc>
      </w:tr>
      <w:tr>
        <w:trPr>
          <w:cantSplit/>
        </w:trPr>
        <w:tc>
          <w:tcPr>
            <w:tcW w:type="dxa" w:w="3024"/>
            <w:tcMar>
              <w:top w:w="50" w:type="dxa"/>
              <w:start w:w="50" w:type="dxa"/>
              <w:bottom w:w="50" w:type="dxa"/>
              <w:end w:w="50" w:type="dxa"/>
            </w:tcMar>
            <w:vAlign w:val="center"/>
          </w:tcPr>
          <w:p>
            <w:r>
              <w:rPr>
                <w:rFonts w:ascii="Aptos" w:hAnsi="Aptos"/>
                <w:sz w:val="14"/>
              </w:rPr>
              <w:t>Partner performance failure</w:t>
            </w:r>
          </w:p>
        </w:tc>
        <w:tc>
          <w:tcPr>
            <w:tcW w:type="dxa" w:w="1152"/>
            <w:tcMar>
              <w:top w:w="50" w:type="dxa"/>
              <w:start w:w="50" w:type="dxa"/>
              <w:bottom w:w="50" w:type="dxa"/>
              <w:end w:w="50" w:type="dxa"/>
            </w:tcMar>
            <w:vAlign w:val="center"/>
          </w:tcPr>
          <w:p>
            <w:r>
              <w:rPr>
                <w:rFonts w:ascii="Aptos" w:hAnsi="Aptos"/>
                <w:sz w:val="14"/>
              </w:rPr>
              <w:t>Medium</w:t>
            </w:r>
          </w:p>
        </w:tc>
        <w:tc>
          <w:tcPr>
            <w:tcW w:type="dxa" w:w="1008"/>
            <w:tcMar>
              <w:top w:w="50" w:type="dxa"/>
              <w:start w:w="50" w:type="dxa"/>
              <w:bottom w:w="50" w:type="dxa"/>
              <w:end w:w="50" w:type="dxa"/>
            </w:tcMar>
            <w:vAlign w:val="center"/>
          </w:tcPr>
          <w:p>
            <w:r>
              <w:rPr>
                <w:rFonts w:ascii="Aptos" w:hAnsi="Aptos"/>
                <w:sz w:val="14"/>
              </w:rPr>
              <w:t>Medium</w:t>
            </w:r>
          </w:p>
        </w:tc>
        <w:tc>
          <w:tcPr>
            <w:tcW w:type="dxa" w:w="5328"/>
            <w:tcMar>
              <w:top w:w="50" w:type="dxa"/>
              <w:start w:w="50" w:type="dxa"/>
              <w:bottom w:w="50" w:type="dxa"/>
              <w:end w:w="50" w:type="dxa"/>
            </w:tcMar>
            <w:vAlign w:val="center"/>
          </w:tcPr>
          <w:p>
            <w:r>
              <w:rPr>
                <w:rFonts w:ascii="Aptos" w:hAnsi="Aptos"/>
                <w:sz w:val="14"/>
              </w:rPr>
              <w:t>Clear MoUs/contracts, KPIs, quarterly reviews, escalation and replacement rights.</w:t>
            </w:r>
          </w:p>
        </w:tc>
      </w:tr>
      <w:tr>
        <w:trPr>
          <w:cantSplit/>
        </w:trPr>
        <w:tc>
          <w:tcPr>
            <w:tcW w:type="dxa" w:w="3024"/>
            <w:tcMar>
              <w:top w:w="50" w:type="dxa"/>
              <w:start w:w="50" w:type="dxa"/>
              <w:bottom w:w="50" w:type="dxa"/>
              <w:end w:w="50" w:type="dxa"/>
            </w:tcMar>
            <w:vAlign w:val="center"/>
            <w:shd w:fill="F7F9FB"/>
          </w:tcPr>
          <w:p>
            <w:r>
              <w:rPr>
                <w:rFonts w:ascii="Aptos" w:hAnsi="Aptos"/>
                <w:sz w:val="14"/>
              </w:rPr>
              <w:t>Foreign exchange and inflation</w:t>
            </w:r>
          </w:p>
        </w:tc>
        <w:tc>
          <w:tcPr>
            <w:tcW w:type="dxa" w:w="1152"/>
            <w:tcMar>
              <w:top w:w="50" w:type="dxa"/>
              <w:start w:w="50" w:type="dxa"/>
              <w:bottom w:w="50" w:type="dxa"/>
              <w:end w:w="50" w:type="dxa"/>
            </w:tcMar>
            <w:vAlign w:val="center"/>
            <w:shd w:fill="F7F9FB"/>
          </w:tcPr>
          <w:p>
            <w:r>
              <w:rPr>
                <w:rFonts w:ascii="Aptos" w:hAnsi="Aptos"/>
                <w:sz w:val="14"/>
              </w:rPr>
              <w:t>High</w:t>
            </w:r>
          </w:p>
        </w:tc>
        <w:tc>
          <w:tcPr>
            <w:tcW w:type="dxa" w:w="1008"/>
            <w:tcMar>
              <w:top w:w="50" w:type="dxa"/>
              <w:start w:w="50" w:type="dxa"/>
              <w:bottom w:w="50" w:type="dxa"/>
              <w:end w:w="50" w:type="dxa"/>
            </w:tcMar>
            <w:vAlign w:val="center"/>
            <w:shd w:fill="F7F9FB"/>
          </w:tcPr>
          <w:p>
            <w:r>
              <w:rPr>
                <w:rFonts w:ascii="Aptos" w:hAnsi="Aptos"/>
                <w:sz w:val="14"/>
              </w:rPr>
              <w:t>Medium</w:t>
            </w:r>
          </w:p>
        </w:tc>
        <w:tc>
          <w:tcPr>
            <w:tcW w:type="dxa" w:w="5328"/>
            <w:tcMar>
              <w:top w:w="50" w:type="dxa"/>
              <w:start w:w="50" w:type="dxa"/>
              <w:bottom w:w="50" w:type="dxa"/>
              <w:end w:w="50" w:type="dxa"/>
            </w:tcMar>
            <w:vAlign w:val="center"/>
            <w:shd w:fill="F7F9FB"/>
          </w:tcPr>
          <w:p>
            <w:r>
              <w:rPr>
                <w:rFonts w:ascii="Aptos" w:hAnsi="Aptos"/>
                <w:sz w:val="14"/>
              </w:rPr>
              <w:t>Contingency, local procurement, reforecasting and approval controls.</w:t>
            </w:r>
          </w:p>
        </w:tc>
      </w:tr>
      <w:tr>
        <w:trPr>
          <w:cantSplit/>
        </w:trPr>
        <w:tc>
          <w:tcPr>
            <w:tcW w:type="dxa" w:w="2520"/>
            <w:tcMar>
              <w:top w:w="50" w:type="dxa"/>
              <w:start w:w="50" w:type="dxa"/>
              <w:bottom w:w="50" w:type="dxa"/>
              <w:end w:w="50" w:type="dxa"/>
            </w:tcMar>
            <w:vAlign w:val="center"/>
          </w:tcPr>
          <w:p>
            <w:r>
              <w:rPr>
                <w:rFonts w:ascii="Aptos" w:hAnsi="Aptos"/>
                <w:sz w:val="14"/>
              </w:rPr>
              <w:t>Blockchain governance, key compromise, privacy or poor performance</w:t>
            </w:r>
          </w:p>
        </w:tc>
        <w:tc>
          <w:tcPr>
            <w:tcW w:type="dxa" w:w="2520"/>
            <w:tcMar>
              <w:top w:w="50" w:type="dxa"/>
              <w:start w:w="50" w:type="dxa"/>
              <w:bottom w:w="50" w:type="dxa"/>
              <w:end w:w="50" w:type="dxa"/>
            </w:tcMar>
            <w:vAlign w:val="center"/>
          </w:tcPr>
          <w:p>
            <w:r>
              <w:rPr>
                <w:rFonts w:ascii="Aptos" w:hAnsi="Aptos"/>
                <w:sz w:val="14"/>
              </w:rPr>
              <w:t>Medium</w:t>
            </w:r>
          </w:p>
        </w:tc>
        <w:tc>
          <w:tcPr>
            <w:tcW w:type="dxa" w:w="2520"/>
            <w:tcMar>
              <w:top w:w="50" w:type="dxa"/>
              <w:start w:w="50" w:type="dxa"/>
              <w:bottom w:w="50" w:type="dxa"/>
              <w:end w:w="50" w:type="dxa"/>
            </w:tcMar>
            <w:vAlign w:val="center"/>
          </w:tcPr>
          <w:p>
            <w:r>
              <w:rPr>
                <w:rFonts w:ascii="Aptos" w:hAnsi="Aptos"/>
                <w:sz w:val="14"/>
              </w:rPr>
              <w:t>Medium</w:t>
            </w:r>
          </w:p>
        </w:tc>
        <w:tc>
          <w:tcPr>
            <w:tcW w:type="dxa" w:w="2520"/>
            <w:tcMar>
              <w:top w:w="50" w:type="dxa"/>
              <w:start w:w="50" w:type="dxa"/>
              <w:bottom w:w="50" w:type="dxa"/>
              <w:end w:w="50" w:type="dxa"/>
            </w:tcMar>
            <w:vAlign w:val="center"/>
          </w:tcPr>
          <w:p>
            <w:r>
              <w:rPr>
                <w:rFonts w:ascii="Aptos" w:hAnsi="Aptos"/>
                <w:sz w:val="14"/>
              </w:rPr>
              <w:t>Permissioned network; off-chain privacy; multi-party governance; key recovery and rotation; code and configuration audit; performance testing; monitoring; dispute, correction and controlled member-offboarding procedures.</w:t>
            </w:r>
          </w:p>
        </w:tc>
      </w:tr>
    </w:tbl>
    <w:p>
      <w:pPr>
        <w:spacing w:after="0"/>
      </w:pPr>
    </w:p>
    <w:p>
      <w:pPr>
        <w:pStyle w:val="Heading1"/>
        <w:keepNext/>
      </w:pPr>
      <w:r>
        <w:t>16. Communications, Knowledge Management and Visibility</w:t>
      </w:r>
    </w:p>
    <w:p>
      <w:pPr>
        <w:pStyle w:val="BodyText"/>
      </w:pPr>
      <w:r>
        <w:t>Communications will support market participation, transparency and learning rather than promotional activity alone. The project will use community meetings, extension materials, buyer briefs, digital dashboards, annual reports, case studies and learning forums. All visibility will follow donor requirements, informed-consent rules and safeguarding standards. Personal stories and images will be used only with documented consent, and commercially confidential data will not be published.</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2880"/>
            <w:shd w:fill="1F4E78"/>
            <w:vAlign w:val="center"/>
            <w:tcMar>
              <w:top w:w="80" w:type="dxa"/>
              <w:start w:w="100" w:type="dxa"/>
              <w:bottom w:w="80" w:type="dxa"/>
              <w:end w:w="100" w:type="dxa"/>
            </w:tcMar>
          </w:tcPr>
          <w:p>
            <w:r>
              <w:t>Audience</w:t>
            </w:r>
          </w:p>
        </w:tc>
        <w:tc>
          <w:tcPr>
            <w:tcW w:type="dxa" w:w="6192"/>
            <w:shd w:fill="1F4E78"/>
            <w:vAlign w:val="center"/>
            <w:tcMar>
              <w:top w:w="80" w:type="dxa"/>
              <w:start w:w="100" w:type="dxa"/>
              <w:bottom w:w="80" w:type="dxa"/>
              <w:end w:w="100" w:type="dxa"/>
            </w:tcMar>
          </w:tcPr>
          <w:p>
            <w:r>
              <w:t>Information product</w:t>
            </w:r>
          </w:p>
        </w:tc>
        <w:tc>
          <w:tcPr>
            <w:tcW w:type="dxa" w:w="1440"/>
            <w:shd w:fill="1F4E78"/>
            <w:vAlign w:val="center"/>
            <w:tcMar>
              <w:top w:w="80" w:type="dxa"/>
              <w:start w:w="100" w:type="dxa"/>
              <w:bottom w:w="80" w:type="dxa"/>
              <w:end w:w="100" w:type="dxa"/>
            </w:tcMar>
          </w:tcPr>
          <w:p>
            <w:r>
              <w:t>Frequency</w:t>
            </w:r>
          </w:p>
        </w:tc>
      </w:tr>
      <w:tr>
        <w:tc>
          <w:tcPr>
            <w:tcW w:type="dxa" w:w="2880"/>
            <w:tcMar>
              <w:top w:w="80" w:type="dxa"/>
              <w:start w:w="100" w:type="dxa"/>
              <w:bottom w:w="80" w:type="dxa"/>
              <w:end w:w="100" w:type="dxa"/>
            </w:tcMar>
            <w:vAlign w:val="top"/>
          </w:tcPr>
          <w:p>
            <w:r>
              <w:t>Farmers and communities</w:t>
            </w:r>
          </w:p>
        </w:tc>
        <w:tc>
          <w:tcPr>
            <w:tcW w:type="dxa" w:w="6192"/>
            <w:tcMar>
              <w:top w:w="80" w:type="dxa"/>
              <w:start w:w="100" w:type="dxa"/>
              <w:bottom w:w="80" w:type="dxa"/>
              <w:end w:w="100" w:type="dxa"/>
            </w:tcMar>
            <w:vAlign w:val="top"/>
          </w:tcPr>
          <w:p>
            <w:r>
              <w:t>Local-language meetings, SMS/WhatsApp notices, training materials and grievance information.</w:t>
            </w:r>
          </w:p>
        </w:tc>
        <w:tc>
          <w:tcPr>
            <w:tcW w:type="dxa" w:w="1440"/>
            <w:tcMar>
              <w:top w:w="80" w:type="dxa"/>
              <w:start w:w="100" w:type="dxa"/>
              <w:bottom w:w="80" w:type="dxa"/>
              <w:end w:w="100" w:type="dxa"/>
            </w:tcMar>
            <w:vAlign w:val="top"/>
          </w:tcPr>
          <w:p>
            <w:r>
              <w:t>Monthly/seasonal</w:t>
            </w:r>
          </w:p>
        </w:tc>
      </w:tr>
      <w:tr>
        <w:tc>
          <w:tcPr>
            <w:tcW w:type="dxa" w:w="2880"/>
            <w:tcMar>
              <w:top w:w="80" w:type="dxa"/>
              <w:start w:w="100" w:type="dxa"/>
              <w:bottom w:w="80" w:type="dxa"/>
              <w:end w:w="100" w:type="dxa"/>
            </w:tcMar>
            <w:vAlign w:val="top"/>
            <w:shd w:fill="EAF2F8"/>
          </w:tcPr>
          <w:p>
            <w:r>
              <w:t>SMEs and buyers</w:t>
            </w:r>
          </w:p>
        </w:tc>
        <w:tc>
          <w:tcPr>
            <w:tcW w:type="dxa" w:w="6192"/>
            <w:tcMar>
              <w:top w:w="80" w:type="dxa"/>
              <w:start w:w="100" w:type="dxa"/>
              <w:bottom w:w="80" w:type="dxa"/>
              <w:end w:w="100" w:type="dxa"/>
            </w:tcMar>
            <w:vAlign w:val="top"/>
            <w:shd w:fill="EAF2F8"/>
          </w:tcPr>
          <w:p>
            <w:r>
              <w:t>Specifications, supply forecasts, quality reports, transaction opportunities and buyer forums.</w:t>
            </w:r>
          </w:p>
        </w:tc>
        <w:tc>
          <w:tcPr>
            <w:tcW w:type="dxa" w:w="1440"/>
            <w:tcMar>
              <w:top w:w="80" w:type="dxa"/>
              <w:start w:w="100" w:type="dxa"/>
              <w:bottom w:w="80" w:type="dxa"/>
              <w:end w:w="100" w:type="dxa"/>
            </w:tcMar>
            <w:vAlign w:val="top"/>
            <w:shd w:fill="EAF2F8"/>
          </w:tcPr>
          <w:p>
            <w:r>
              <w:t>Quarterly/transactional</w:t>
            </w:r>
          </w:p>
        </w:tc>
      </w:tr>
      <w:tr>
        <w:tc>
          <w:tcPr>
            <w:tcW w:type="dxa" w:w="2880"/>
            <w:tcMar>
              <w:top w:w="80" w:type="dxa"/>
              <w:start w:w="100" w:type="dxa"/>
              <w:bottom w:w="80" w:type="dxa"/>
              <w:end w:w="100" w:type="dxa"/>
            </w:tcMar>
            <w:vAlign w:val="top"/>
          </w:tcPr>
          <w:p>
            <w:r>
              <w:t>Government and regulators</w:t>
            </w:r>
          </w:p>
        </w:tc>
        <w:tc>
          <w:tcPr>
            <w:tcW w:type="dxa" w:w="6192"/>
            <w:tcMar>
              <w:top w:w="80" w:type="dxa"/>
              <w:start w:w="100" w:type="dxa"/>
              <w:bottom w:w="80" w:type="dxa"/>
              <w:end w:w="100" w:type="dxa"/>
            </w:tcMar>
            <w:vAlign w:val="top"/>
          </w:tcPr>
          <w:p>
            <w:r>
              <w:t>Implementation dashboards, compliance updates and learning briefs.</w:t>
            </w:r>
          </w:p>
        </w:tc>
        <w:tc>
          <w:tcPr>
            <w:tcW w:type="dxa" w:w="1440"/>
            <w:tcMar>
              <w:top w:w="80" w:type="dxa"/>
              <w:start w:w="100" w:type="dxa"/>
              <w:bottom w:w="80" w:type="dxa"/>
              <w:end w:w="100" w:type="dxa"/>
            </w:tcMar>
            <w:vAlign w:val="top"/>
          </w:tcPr>
          <w:p>
            <w:r>
              <w:t>Quarterly/annual</w:t>
            </w:r>
          </w:p>
        </w:tc>
      </w:tr>
      <w:tr>
        <w:tc>
          <w:tcPr>
            <w:tcW w:type="dxa" w:w="2880"/>
            <w:tcMar>
              <w:top w:w="80" w:type="dxa"/>
              <w:start w:w="100" w:type="dxa"/>
              <w:bottom w:w="80" w:type="dxa"/>
              <w:end w:w="100" w:type="dxa"/>
            </w:tcMar>
            <w:vAlign w:val="top"/>
            <w:shd w:fill="EAF2F8"/>
          </w:tcPr>
          <w:p>
            <w:r>
              <w:t>Donor and steering committee</w:t>
            </w:r>
          </w:p>
        </w:tc>
        <w:tc>
          <w:tcPr>
            <w:tcW w:type="dxa" w:w="6192"/>
            <w:tcMar>
              <w:top w:w="80" w:type="dxa"/>
              <w:start w:w="100" w:type="dxa"/>
              <w:bottom w:w="80" w:type="dxa"/>
              <w:end w:w="100" w:type="dxa"/>
            </w:tcMar>
            <w:vAlign w:val="top"/>
            <w:shd w:fill="EAF2F8"/>
          </w:tcPr>
          <w:p>
            <w:r>
              <w:t>Narrative, financial, risk, results and audit reports.</w:t>
            </w:r>
          </w:p>
        </w:tc>
        <w:tc>
          <w:tcPr>
            <w:tcW w:type="dxa" w:w="1440"/>
            <w:tcMar>
              <w:top w:w="80" w:type="dxa"/>
              <w:start w:w="100" w:type="dxa"/>
              <w:bottom w:w="80" w:type="dxa"/>
              <w:end w:w="100" w:type="dxa"/>
            </w:tcMar>
            <w:vAlign w:val="top"/>
            <w:shd w:fill="EAF2F8"/>
          </w:tcPr>
          <w:p>
            <w:r>
              <w:t>Quarterly/annual</w:t>
            </w:r>
          </w:p>
        </w:tc>
      </w:tr>
      <w:tr>
        <w:tc>
          <w:tcPr>
            <w:tcW w:type="dxa" w:w="2880"/>
            <w:tcMar>
              <w:top w:w="80" w:type="dxa"/>
              <w:start w:w="100" w:type="dxa"/>
              <w:bottom w:w="80" w:type="dxa"/>
              <w:end w:w="100" w:type="dxa"/>
            </w:tcMar>
            <w:vAlign w:val="top"/>
          </w:tcPr>
          <w:p>
            <w:r>
              <w:t>Public and sector stakeholders</w:t>
            </w:r>
          </w:p>
        </w:tc>
        <w:tc>
          <w:tcPr>
            <w:tcW w:type="dxa" w:w="6192"/>
            <w:tcMar>
              <w:top w:w="80" w:type="dxa"/>
              <w:start w:w="100" w:type="dxa"/>
              <w:bottom w:w="80" w:type="dxa"/>
              <w:end w:w="100" w:type="dxa"/>
            </w:tcMar>
            <w:vAlign w:val="top"/>
          </w:tcPr>
          <w:p>
            <w:r>
              <w:t>Non-confidential results, case studies and replication tools.</w:t>
            </w:r>
          </w:p>
        </w:tc>
        <w:tc>
          <w:tcPr>
            <w:tcW w:type="dxa" w:w="1440"/>
            <w:tcMar>
              <w:top w:w="80" w:type="dxa"/>
              <w:start w:w="100" w:type="dxa"/>
              <w:bottom w:w="80" w:type="dxa"/>
              <w:end w:w="100" w:type="dxa"/>
            </w:tcMar>
            <w:vAlign w:val="top"/>
          </w:tcPr>
          <w:p>
            <w:r>
              <w:t>Annual/endline</w:t>
            </w:r>
          </w:p>
        </w:tc>
      </w:tr>
    </w:tbl>
    <w:p>
      <w:pPr>
        <w:spacing w:after="0"/>
      </w:pPr>
    </w:p>
    <w:p>
      <w:pPr>
        <w:pStyle w:val="Heading1"/>
        <w:keepNext/>
      </w:pPr>
      <w:r>
        <w:t>17. Financial Management, Procurement and Community Grants</w:t>
      </w:r>
    </w:p>
    <w:p>
      <w:pPr>
        <w:pStyle w:val="Heading2"/>
        <w:keepNext/>
      </w:pPr>
      <w:r>
        <w:t>17.1 Financial controls</w:t>
      </w:r>
    </w:p>
    <w:p>
      <w:pPr>
        <w:pStyle w:val="ListBullet"/>
      </w:pPr>
      <w:r>
        <w:t>Separate project cost centre and bank-account arrangements as required by the grant agreement.</w:t>
      </w:r>
    </w:p>
    <w:p>
      <w:pPr>
        <w:pStyle w:val="ListBullet"/>
      </w:pPr>
      <w:r>
        <w:t>Approved annual budgets, work plans and procurement plans.</w:t>
      </w:r>
    </w:p>
    <w:p>
      <w:pPr>
        <w:pStyle w:val="ListBullet"/>
      </w:pPr>
      <w:r>
        <w:t>Dual authorisation, segregation of duties and documented approval thresholds.</w:t>
      </w:r>
    </w:p>
    <w:p>
      <w:pPr>
        <w:pStyle w:val="ListBullet"/>
      </w:pPr>
      <w:r>
        <w:t>Monthly bank reconciliation and budget-versus-actual review.</w:t>
      </w:r>
    </w:p>
    <w:p>
      <w:pPr>
        <w:pStyle w:val="ListBullet"/>
      </w:pPr>
      <w:r>
        <w:t>Asset register, inventory controls and periodic verification.</w:t>
      </w:r>
    </w:p>
    <w:p>
      <w:pPr>
        <w:pStyle w:val="ListBullet"/>
      </w:pPr>
      <w:r>
        <w:t>Quarterly financial reporting and annual external audit.</w:t>
      </w:r>
    </w:p>
    <w:p>
      <w:pPr>
        <w:pStyle w:val="ListBullet"/>
      </w:pPr>
      <w:r>
        <w:t>Partner and service-provider expenditure verification and right of access to records.</w:t>
      </w:r>
    </w:p>
    <w:p>
      <w:pPr>
        <w:pStyle w:val="Heading2"/>
        <w:keepNext/>
      </w:pPr>
      <w:r>
        <w:t>17.2 Procurement</w:t>
      </w:r>
    </w:p>
    <w:p>
      <w:pPr>
        <w:pStyle w:val="BodyText"/>
      </w:pPr>
      <w:r>
        <w:t>Procurement will be competitive, transparent, proportionate and documented. Terms of reference and specifications will avoid unjustified brand restrictions. Conflict-of-interest declarations will be mandatory. Afrisol Technologies Limited and Afribiz Consultancy Limited are named proposed service providers based on their specialised roles; their final engagement, scope, rates and value-for-money assessment will be documented in accordance with the donor-approved procurement approach and applicable non-commercial-rate requirements.</w:t>
      </w:r>
    </w:p>
    <w:p>
      <w:pPr>
        <w:pStyle w:val="Heading2"/>
        <w:keepNext/>
      </w:pPr>
      <w:r>
        <w:t>17.3 Community grants</w:t>
      </w:r>
    </w:p>
    <w:p>
      <w:pPr>
        <w:pStyle w:val="BodyText"/>
      </w:pPr>
      <w:r>
        <w:t>Community grants, if approved in the final budget, will finance clearly defined public-benefit or shared-market assets such as registration, basic aggregation tools, quality equipment, food-production demonstrations or inclusive service enterprises. Grants will not finance political activity, unrestricted cash transfers, routine commodity purchases or profit distributions. Goblis Foundation will administer the process; Afribiz will support registration and documentation; the Finance and Grants Manager will control approvals and disbursement; and the M&amp;E team will verify milestones.</w:t>
      </w:r>
    </w:p>
    <w:p>
      <w:pPr>
        <w:pStyle w:val="Heading1"/>
        <w:keepNext/>
      </w:pPr>
      <w:r>
        <w:t>18. Budget and Value for Money</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7200"/>
            <w:shd w:fill="17375E"/>
            <w:vAlign w:val="center"/>
            <w:tcMar>
              <w:top w:w="45" w:type="dxa"/>
              <w:start w:w="45" w:type="dxa"/>
              <w:bottom w:w="45" w:type="dxa"/>
              <w:end w:w="45" w:type="dxa"/>
            </w:tcMar>
          </w:tcPr>
          <w:p>
            <w:r>
              <w:rPr>
                <w:rFonts w:ascii="Aptos" w:hAnsi="Aptos"/>
                <w:b/>
                <w:color w:val="FFFFFF"/>
                <w:sz w:val="14"/>
              </w:rPr>
              <w:t>Budget line</w:t>
            </w:r>
          </w:p>
        </w:tc>
        <w:tc>
          <w:tcPr>
            <w:tcW w:type="dxa" w:w="1872"/>
            <w:shd w:fill="17375E"/>
            <w:vAlign w:val="center"/>
            <w:tcMar>
              <w:top w:w="45" w:type="dxa"/>
              <w:start w:w="45" w:type="dxa"/>
              <w:bottom w:w="45" w:type="dxa"/>
              <w:end w:w="45" w:type="dxa"/>
            </w:tcMar>
          </w:tcPr>
          <w:p>
            <w:r>
              <w:rPr>
                <w:rFonts w:ascii="Aptos" w:hAnsi="Aptos"/>
                <w:b/>
                <w:color w:val="FFFFFF"/>
                <w:sz w:val="14"/>
              </w:rPr>
              <w:t>KES</w:t>
            </w:r>
          </w:p>
        </w:tc>
        <w:tc>
          <w:tcPr>
            <w:tcW w:type="dxa" w:w="1440"/>
            <w:shd w:fill="17375E"/>
            <w:vAlign w:val="center"/>
            <w:tcMar>
              <w:top w:w="45" w:type="dxa"/>
              <w:start w:w="45" w:type="dxa"/>
              <w:bottom w:w="45" w:type="dxa"/>
              <w:end w:w="45" w:type="dxa"/>
            </w:tcMar>
          </w:tcPr>
          <w:p>
            <w:r>
              <w:rPr>
                <w:rFonts w:ascii="Aptos" w:hAnsi="Aptos"/>
                <w:b/>
                <w:color w:val="FFFFFF"/>
                <w:sz w:val="14"/>
              </w:rPr>
              <w:t>Classification</w:t>
            </w:r>
          </w:p>
        </w:tc>
      </w:tr>
      <w:tr>
        <w:tc>
          <w:tcPr>
            <w:tcW w:type="dxa" w:w="7200"/>
            <w:tcMar>
              <w:top w:w="45" w:type="dxa"/>
              <w:start w:w="45" w:type="dxa"/>
              <w:bottom w:w="45" w:type="dxa"/>
              <w:end w:w="45" w:type="dxa"/>
            </w:tcMar>
            <w:vAlign w:val="center"/>
          </w:tcPr>
          <w:p>
            <w:r>
              <w:rPr>
                <w:rFonts w:ascii="Aptos" w:hAnsi="Aptos"/>
                <w:sz w:val="14"/>
              </w:rPr>
              <w:t>1. Inception, baseline, market validation and regulatory planning</w:t>
            </w:r>
          </w:p>
        </w:tc>
        <w:tc>
          <w:tcPr>
            <w:tcW w:type="dxa" w:w="1872"/>
            <w:tcMar>
              <w:top w:w="45" w:type="dxa"/>
              <w:start w:w="45" w:type="dxa"/>
              <w:bottom w:w="45" w:type="dxa"/>
              <w:end w:w="45" w:type="dxa"/>
            </w:tcMar>
            <w:vAlign w:val="center"/>
          </w:tcPr>
          <w:p>
            <w:r>
              <w:rPr>
                <w:rFonts w:ascii="Aptos" w:hAnsi="Aptos"/>
                <w:sz w:val="14"/>
              </w:rPr>
              <w:t>8,000,000</w:t>
            </w:r>
          </w:p>
        </w:tc>
        <w:tc>
          <w:tcPr>
            <w:tcW w:type="dxa" w:w="1440"/>
            <w:tcMar>
              <w:top w:w="45" w:type="dxa"/>
              <w:start w:w="45" w:type="dxa"/>
              <w:bottom w:w="45" w:type="dxa"/>
              <w:end w:w="45" w:type="dxa"/>
            </w:tcMar>
            <w:vAlign w:val="center"/>
          </w:tcPr>
          <w:p>
            <w:r>
              <w:rPr>
                <w:rFonts w:ascii="Aptos" w:hAnsi="Aptos"/>
                <w:sz w:val="14"/>
              </w:rPr>
              <w:t>Direct</w:t>
            </w:r>
          </w:p>
        </w:tc>
      </w:tr>
      <w:tr>
        <w:tc>
          <w:tcPr>
            <w:tcW w:type="dxa" w:w="7200"/>
            <w:tcMar>
              <w:top w:w="45" w:type="dxa"/>
              <w:start w:w="45" w:type="dxa"/>
              <w:bottom w:w="45" w:type="dxa"/>
              <w:end w:w="45" w:type="dxa"/>
            </w:tcMar>
            <w:vAlign w:val="center"/>
            <w:shd w:fill="F7F9FB"/>
          </w:tcPr>
          <w:p>
            <w:r>
              <w:rPr>
                <w:rFonts w:ascii="Aptos" w:hAnsi="Aptos"/>
                <w:sz w:val="14"/>
              </w:rPr>
              <w:t>2. Community mobilisation, registration and cluster governance</w:t>
            </w:r>
          </w:p>
        </w:tc>
        <w:tc>
          <w:tcPr>
            <w:tcW w:type="dxa" w:w="1872"/>
            <w:tcMar>
              <w:top w:w="45" w:type="dxa"/>
              <w:start w:w="45" w:type="dxa"/>
              <w:bottom w:w="45" w:type="dxa"/>
              <w:end w:w="45" w:type="dxa"/>
            </w:tcMar>
            <w:vAlign w:val="center"/>
            <w:shd w:fill="F7F9FB"/>
          </w:tcPr>
          <w:p>
            <w:r>
              <w:rPr>
                <w:rFonts w:ascii="Aptos" w:hAnsi="Aptos"/>
                <w:sz w:val="14"/>
              </w:rPr>
              <w:t>16,000,000</w:t>
            </w:r>
          </w:p>
        </w:tc>
        <w:tc>
          <w:tcPr>
            <w:tcW w:type="dxa" w:w="1440"/>
            <w:tcMar>
              <w:top w:w="45" w:type="dxa"/>
              <w:start w:w="45" w:type="dxa"/>
              <w:bottom w:w="45" w:type="dxa"/>
              <w:end w:w="45" w:type="dxa"/>
            </w:tcMar>
            <w:vAlign w:val="center"/>
            <w:shd w:fill="F7F9FB"/>
          </w:tcPr>
          <w:p>
            <w:r>
              <w:rPr>
                <w:rFonts w:ascii="Aptos" w:hAnsi="Aptos"/>
                <w:sz w:val="14"/>
              </w:rPr>
              <w:t>Direct</w:t>
            </w:r>
          </w:p>
        </w:tc>
      </w:tr>
      <w:tr>
        <w:tc>
          <w:tcPr>
            <w:tcW w:type="dxa" w:w="7200"/>
            <w:tcMar>
              <w:top w:w="45" w:type="dxa"/>
              <w:start w:w="45" w:type="dxa"/>
              <w:bottom w:w="45" w:type="dxa"/>
              <w:end w:w="45" w:type="dxa"/>
            </w:tcMar>
            <w:vAlign w:val="center"/>
          </w:tcPr>
          <w:p>
            <w:r>
              <w:rPr>
                <w:rFonts w:ascii="Aptos" w:hAnsi="Aptos"/>
                <w:sz w:val="14"/>
              </w:rPr>
              <w:t>3. Agronomy, diversification, food security and extension</w:t>
            </w:r>
          </w:p>
        </w:tc>
        <w:tc>
          <w:tcPr>
            <w:tcW w:type="dxa" w:w="1872"/>
            <w:tcMar>
              <w:top w:w="45" w:type="dxa"/>
              <w:start w:w="45" w:type="dxa"/>
              <w:bottom w:w="45" w:type="dxa"/>
              <w:end w:w="45" w:type="dxa"/>
            </w:tcMar>
            <w:vAlign w:val="center"/>
          </w:tcPr>
          <w:p>
            <w:r>
              <w:rPr>
                <w:rFonts w:ascii="Aptos" w:hAnsi="Aptos"/>
                <w:sz w:val="14"/>
              </w:rPr>
              <w:t>18,000,000</w:t>
            </w:r>
          </w:p>
        </w:tc>
        <w:tc>
          <w:tcPr>
            <w:tcW w:type="dxa" w:w="1440"/>
            <w:tcMar>
              <w:top w:w="45" w:type="dxa"/>
              <w:start w:w="45" w:type="dxa"/>
              <w:bottom w:w="45" w:type="dxa"/>
              <w:end w:w="45" w:type="dxa"/>
            </w:tcMar>
            <w:vAlign w:val="center"/>
          </w:tcPr>
          <w:p>
            <w:r>
              <w:rPr>
                <w:rFonts w:ascii="Aptos" w:hAnsi="Aptos"/>
                <w:sz w:val="14"/>
              </w:rPr>
              <w:t>Direct</w:t>
            </w:r>
          </w:p>
        </w:tc>
      </w:tr>
      <w:tr>
        <w:tc>
          <w:tcPr>
            <w:tcW w:type="dxa" w:w="7200"/>
            <w:tcMar>
              <w:top w:w="45" w:type="dxa"/>
              <w:start w:w="45" w:type="dxa"/>
              <w:bottom w:w="45" w:type="dxa"/>
              <w:end w:w="45" w:type="dxa"/>
            </w:tcMar>
            <w:vAlign w:val="center"/>
            <w:shd w:fill="F7F9FB"/>
          </w:tcPr>
          <w:p>
            <w:r>
              <w:rPr>
                <w:rFonts w:ascii="Aptos" w:hAnsi="Aptos"/>
                <w:sz w:val="14"/>
              </w:rPr>
              <w:t>4. Standards, QA, testing and certification readiness</w:t>
            </w:r>
          </w:p>
        </w:tc>
        <w:tc>
          <w:tcPr>
            <w:tcW w:type="dxa" w:w="1872"/>
            <w:tcMar>
              <w:top w:w="45" w:type="dxa"/>
              <w:start w:w="45" w:type="dxa"/>
              <w:bottom w:w="45" w:type="dxa"/>
              <w:end w:w="45" w:type="dxa"/>
            </w:tcMar>
            <w:vAlign w:val="center"/>
            <w:shd w:fill="F7F9FB"/>
          </w:tcPr>
          <w:p>
            <w:r>
              <w:rPr>
                <w:rFonts w:ascii="Aptos" w:hAnsi="Aptos"/>
                <w:sz w:val="14"/>
              </w:rPr>
              <w:t>19,000,000</w:t>
            </w:r>
          </w:p>
        </w:tc>
        <w:tc>
          <w:tcPr>
            <w:tcW w:type="dxa" w:w="1440"/>
            <w:tcMar>
              <w:top w:w="45" w:type="dxa"/>
              <w:start w:w="45" w:type="dxa"/>
              <w:bottom w:w="45" w:type="dxa"/>
              <w:end w:w="45" w:type="dxa"/>
            </w:tcMar>
            <w:vAlign w:val="center"/>
            <w:shd w:fill="F7F9FB"/>
          </w:tcPr>
          <w:p>
            <w:r>
              <w:rPr>
                <w:rFonts w:ascii="Aptos" w:hAnsi="Aptos"/>
                <w:sz w:val="14"/>
              </w:rPr>
              <w:t>Direct</w:t>
            </w:r>
          </w:p>
        </w:tc>
      </w:tr>
      <w:tr>
        <w:tc>
          <w:tcPr>
            <w:tcW w:type="dxa" w:w="7200"/>
            <w:tcMar>
              <w:top w:w="45" w:type="dxa"/>
              <w:start w:w="45" w:type="dxa"/>
              <w:bottom w:w="45" w:type="dxa"/>
              <w:end w:w="45" w:type="dxa"/>
            </w:tcMar>
            <w:vAlign w:val="center"/>
          </w:tcPr>
          <w:p>
            <w:r>
              <w:rPr>
                <w:rFonts w:ascii="Aptos" w:hAnsi="Aptos"/>
                <w:sz w:val="14"/>
              </w:rPr>
              <w:t>5. Digital platform, GIS, payments, permissioned blockchain, credentials, integrations and deployment</w:t>
            </w:r>
          </w:p>
        </w:tc>
        <w:tc>
          <w:tcPr>
            <w:tcW w:type="dxa" w:w="1872"/>
            <w:tcMar>
              <w:top w:w="45" w:type="dxa"/>
              <w:start w:w="45" w:type="dxa"/>
              <w:bottom w:w="45" w:type="dxa"/>
              <w:end w:w="45" w:type="dxa"/>
            </w:tcMar>
            <w:vAlign w:val="center"/>
          </w:tcPr>
          <w:p>
            <w:r>
              <w:rPr>
                <w:rFonts w:ascii="Aptos" w:hAnsi="Aptos"/>
                <w:sz w:val="14"/>
              </w:rPr>
              <w:t>25,000,000</w:t>
            </w:r>
          </w:p>
        </w:tc>
        <w:tc>
          <w:tcPr>
            <w:tcW w:type="dxa" w:w="1440"/>
            <w:tcMar>
              <w:top w:w="45" w:type="dxa"/>
              <w:start w:w="45" w:type="dxa"/>
              <w:bottom w:w="45" w:type="dxa"/>
              <w:end w:w="45" w:type="dxa"/>
            </w:tcMar>
            <w:vAlign w:val="center"/>
          </w:tcPr>
          <w:p>
            <w:r>
              <w:rPr>
                <w:rFonts w:ascii="Aptos" w:hAnsi="Aptos"/>
                <w:sz w:val="14"/>
              </w:rPr>
              <w:t>Direct</w:t>
            </w:r>
          </w:p>
        </w:tc>
      </w:tr>
      <w:tr>
        <w:tc>
          <w:tcPr>
            <w:tcW w:type="dxa" w:w="7200"/>
            <w:tcMar>
              <w:top w:w="45" w:type="dxa"/>
              <w:start w:w="45" w:type="dxa"/>
              <w:bottom w:w="45" w:type="dxa"/>
              <w:end w:w="45" w:type="dxa"/>
            </w:tcMar>
            <w:vAlign w:val="center"/>
            <w:shd w:fill="F7F9FB"/>
          </w:tcPr>
          <w:p>
            <w:r>
              <w:rPr>
                <w:rFonts w:ascii="Aptos" w:hAnsi="Aptos"/>
                <w:sz w:val="14"/>
              </w:rPr>
              <w:t>6. Demonstration, processing trials and compliance</w:t>
            </w:r>
          </w:p>
        </w:tc>
        <w:tc>
          <w:tcPr>
            <w:tcW w:type="dxa" w:w="1872"/>
            <w:tcMar>
              <w:top w:w="45" w:type="dxa"/>
              <w:start w:w="45" w:type="dxa"/>
              <w:bottom w:w="45" w:type="dxa"/>
              <w:end w:w="45" w:type="dxa"/>
            </w:tcMar>
            <w:vAlign w:val="center"/>
            <w:shd w:fill="F7F9FB"/>
          </w:tcPr>
          <w:p>
            <w:r>
              <w:rPr>
                <w:rFonts w:ascii="Aptos" w:hAnsi="Aptos"/>
                <w:sz w:val="14"/>
              </w:rPr>
              <w:t>12,000,000</w:t>
            </w:r>
          </w:p>
        </w:tc>
        <w:tc>
          <w:tcPr>
            <w:tcW w:type="dxa" w:w="1440"/>
            <w:tcMar>
              <w:top w:w="45" w:type="dxa"/>
              <w:start w:w="45" w:type="dxa"/>
              <w:bottom w:w="45" w:type="dxa"/>
              <w:end w:w="45" w:type="dxa"/>
            </w:tcMar>
            <w:vAlign w:val="center"/>
            <w:shd w:fill="F7F9FB"/>
          </w:tcPr>
          <w:p>
            <w:r>
              <w:rPr>
                <w:rFonts w:ascii="Aptos" w:hAnsi="Aptos"/>
                <w:sz w:val="14"/>
              </w:rPr>
              <w:t>Direct</w:t>
            </w:r>
          </w:p>
        </w:tc>
      </w:tr>
      <w:tr>
        <w:tc>
          <w:tcPr>
            <w:tcW w:type="dxa" w:w="7200"/>
            <w:tcMar>
              <w:top w:w="45" w:type="dxa"/>
              <w:start w:w="45" w:type="dxa"/>
              <w:bottom w:w="45" w:type="dxa"/>
              <w:end w:w="45" w:type="dxa"/>
            </w:tcMar>
            <w:vAlign w:val="center"/>
          </w:tcPr>
          <w:p>
            <w:r>
              <w:rPr>
                <w:rFonts w:ascii="Aptos" w:hAnsi="Aptos"/>
                <w:sz w:val="14"/>
              </w:rPr>
              <w:t>7. Buyer linkage, export readiness and transactions</w:t>
            </w:r>
          </w:p>
        </w:tc>
        <w:tc>
          <w:tcPr>
            <w:tcW w:type="dxa" w:w="1872"/>
            <w:tcMar>
              <w:top w:w="45" w:type="dxa"/>
              <w:start w:w="45" w:type="dxa"/>
              <w:bottom w:w="45" w:type="dxa"/>
              <w:end w:w="45" w:type="dxa"/>
            </w:tcMar>
            <w:vAlign w:val="center"/>
          </w:tcPr>
          <w:p>
            <w:r>
              <w:rPr>
                <w:rFonts w:ascii="Aptos" w:hAnsi="Aptos"/>
                <w:sz w:val="14"/>
              </w:rPr>
              <w:t>10,000,000</w:t>
            </w:r>
          </w:p>
        </w:tc>
        <w:tc>
          <w:tcPr>
            <w:tcW w:type="dxa" w:w="1440"/>
            <w:tcMar>
              <w:top w:w="45" w:type="dxa"/>
              <w:start w:w="45" w:type="dxa"/>
              <w:bottom w:w="45" w:type="dxa"/>
              <w:end w:w="45" w:type="dxa"/>
            </w:tcMar>
            <w:vAlign w:val="center"/>
          </w:tcPr>
          <w:p>
            <w:r>
              <w:rPr>
                <w:rFonts w:ascii="Aptos" w:hAnsi="Aptos"/>
                <w:sz w:val="14"/>
              </w:rPr>
              <w:t>Direct</w:t>
            </w:r>
          </w:p>
        </w:tc>
      </w:tr>
      <w:tr>
        <w:tc>
          <w:tcPr>
            <w:tcW w:type="dxa" w:w="7200"/>
            <w:tcMar>
              <w:top w:w="45" w:type="dxa"/>
              <w:start w:w="45" w:type="dxa"/>
              <w:bottom w:w="45" w:type="dxa"/>
              <w:end w:w="45" w:type="dxa"/>
            </w:tcMar>
            <w:vAlign w:val="center"/>
            <w:shd w:fill="F7F9FB"/>
          </w:tcPr>
          <w:p>
            <w:r>
              <w:rPr>
                <w:rFonts w:ascii="Aptos" w:hAnsi="Aptos"/>
                <w:sz w:val="14"/>
              </w:rPr>
              <w:t>8. Inclusion, enterprise support and community grants</w:t>
            </w:r>
          </w:p>
        </w:tc>
        <w:tc>
          <w:tcPr>
            <w:tcW w:type="dxa" w:w="1872"/>
            <w:tcMar>
              <w:top w:w="45" w:type="dxa"/>
              <w:start w:w="45" w:type="dxa"/>
              <w:bottom w:w="45" w:type="dxa"/>
              <w:end w:w="45" w:type="dxa"/>
            </w:tcMar>
            <w:vAlign w:val="center"/>
            <w:shd w:fill="F7F9FB"/>
          </w:tcPr>
          <w:p>
            <w:r>
              <w:rPr>
                <w:rFonts w:ascii="Aptos" w:hAnsi="Aptos"/>
                <w:sz w:val="14"/>
              </w:rPr>
              <w:t>10,000,000</w:t>
            </w:r>
          </w:p>
        </w:tc>
        <w:tc>
          <w:tcPr>
            <w:tcW w:type="dxa" w:w="1440"/>
            <w:tcMar>
              <w:top w:w="45" w:type="dxa"/>
              <w:start w:w="45" w:type="dxa"/>
              <w:bottom w:w="45" w:type="dxa"/>
              <w:end w:w="45" w:type="dxa"/>
            </w:tcMar>
            <w:vAlign w:val="center"/>
            <w:shd w:fill="F7F9FB"/>
          </w:tcPr>
          <w:p>
            <w:r>
              <w:rPr>
                <w:rFonts w:ascii="Aptos" w:hAnsi="Aptos"/>
                <w:sz w:val="14"/>
              </w:rPr>
              <w:t>Direct</w:t>
            </w:r>
          </w:p>
        </w:tc>
      </w:tr>
      <w:tr>
        <w:tc>
          <w:tcPr>
            <w:tcW w:type="dxa" w:w="7200"/>
            <w:tcMar>
              <w:top w:w="45" w:type="dxa"/>
              <w:start w:w="45" w:type="dxa"/>
              <w:bottom w:w="45" w:type="dxa"/>
              <w:end w:w="45" w:type="dxa"/>
            </w:tcMar>
            <w:vAlign w:val="center"/>
          </w:tcPr>
          <w:p>
            <w:r>
              <w:rPr>
                <w:rFonts w:ascii="Aptos" w:hAnsi="Aptos"/>
                <w:sz w:val="14"/>
              </w:rPr>
              <w:t>9. Monitoring, evaluation, learning and replication</w:t>
            </w:r>
          </w:p>
        </w:tc>
        <w:tc>
          <w:tcPr>
            <w:tcW w:type="dxa" w:w="1872"/>
            <w:tcMar>
              <w:top w:w="45" w:type="dxa"/>
              <w:start w:w="45" w:type="dxa"/>
              <w:bottom w:w="45" w:type="dxa"/>
              <w:end w:w="45" w:type="dxa"/>
            </w:tcMar>
            <w:vAlign w:val="center"/>
          </w:tcPr>
          <w:p>
            <w:r>
              <w:rPr>
                <w:rFonts w:ascii="Aptos" w:hAnsi="Aptos"/>
                <w:sz w:val="14"/>
              </w:rPr>
              <w:t>7,000,000</w:t>
            </w:r>
          </w:p>
        </w:tc>
        <w:tc>
          <w:tcPr>
            <w:tcW w:type="dxa" w:w="1440"/>
            <w:tcMar>
              <w:top w:w="45" w:type="dxa"/>
              <w:start w:w="45" w:type="dxa"/>
              <w:bottom w:w="45" w:type="dxa"/>
              <w:end w:w="45" w:type="dxa"/>
            </w:tcMar>
            <w:vAlign w:val="center"/>
          </w:tcPr>
          <w:p>
            <w:r>
              <w:rPr>
                <w:rFonts w:ascii="Aptos" w:hAnsi="Aptos"/>
                <w:sz w:val="14"/>
              </w:rPr>
              <w:t>Direct</w:t>
            </w:r>
          </w:p>
        </w:tc>
      </w:tr>
      <w:tr>
        <w:tc>
          <w:tcPr>
            <w:tcW w:type="dxa" w:w="7200"/>
            <w:tcMar>
              <w:top w:w="45" w:type="dxa"/>
              <w:start w:w="45" w:type="dxa"/>
              <w:bottom w:w="45" w:type="dxa"/>
              <w:end w:w="45" w:type="dxa"/>
            </w:tcMar>
            <w:vAlign w:val="center"/>
            <w:shd w:fill="F7F9FB"/>
          </w:tcPr>
          <w:p>
            <w:r>
              <w:rPr>
                <w:rFonts w:ascii="Aptos" w:hAnsi="Aptos"/>
                <w:sz w:val="14"/>
              </w:rPr>
              <w:t>Direct-cost subtotal</w:t>
            </w:r>
          </w:p>
        </w:tc>
        <w:tc>
          <w:tcPr>
            <w:tcW w:type="dxa" w:w="1872"/>
            <w:tcMar>
              <w:top w:w="45" w:type="dxa"/>
              <w:start w:w="45" w:type="dxa"/>
              <w:bottom w:w="45" w:type="dxa"/>
              <w:end w:w="45" w:type="dxa"/>
            </w:tcMar>
            <w:vAlign w:val="center"/>
            <w:shd w:fill="F7F9FB"/>
          </w:tcPr>
          <w:p>
            <w:r>
              <w:rPr>
                <w:rFonts w:ascii="Aptos" w:hAnsi="Aptos"/>
                <w:sz w:val="14"/>
              </w:rPr>
              <w:t>125,000,000</w:t>
            </w:r>
          </w:p>
        </w:tc>
        <w:tc>
          <w:tcPr>
            <w:tcW w:type="dxa" w:w="1440"/>
            <w:tcMar>
              <w:top w:w="45" w:type="dxa"/>
              <w:start w:w="45" w:type="dxa"/>
              <w:bottom w:w="45" w:type="dxa"/>
              <w:end w:w="45" w:type="dxa"/>
            </w:tcMar>
            <w:vAlign w:val="center"/>
            <w:shd w:fill="F7F9FB"/>
          </w:tcPr>
          <w:p>
            <w:r>
              <w:rPr>
                <w:rFonts w:ascii="Aptos" w:hAnsi="Aptos"/>
                <w:sz w:val="14"/>
              </w:rPr>
            </w:r>
          </w:p>
        </w:tc>
      </w:tr>
      <w:tr>
        <w:tc>
          <w:tcPr>
            <w:tcW w:type="dxa" w:w="7200"/>
            <w:tcMar>
              <w:top w:w="45" w:type="dxa"/>
              <w:start w:w="45" w:type="dxa"/>
              <w:bottom w:w="45" w:type="dxa"/>
              <w:end w:w="45" w:type="dxa"/>
            </w:tcMar>
            <w:vAlign w:val="center"/>
          </w:tcPr>
          <w:p>
            <w:r>
              <w:rPr>
                <w:rFonts w:ascii="Aptos" w:hAnsi="Aptos"/>
                <w:sz w:val="14"/>
              </w:rPr>
              <w:t>10. Consortium coordination, finance, audit and overhead</w:t>
            </w:r>
          </w:p>
        </w:tc>
        <w:tc>
          <w:tcPr>
            <w:tcW w:type="dxa" w:w="1872"/>
            <w:tcMar>
              <w:top w:w="45" w:type="dxa"/>
              <w:start w:w="45" w:type="dxa"/>
              <w:bottom w:w="45" w:type="dxa"/>
              <w:end w:w="45" w:type="dxa"/>
            </w:tcMar>
            <w:vAlign w:val="center"/>
          </w:tcPr>
          <w:p>
            <w:r>
              <w:rPr>
                <w:rFonts w:ascii="Aptos" w:hAnsi="Aptos"/>
                <w:sz w:val="14"/>
              </w:rPr>
              <w:t>13,000,000</w:t>
            </w:r>
          </w:p>
        </w:tc>
        <w:tc>
          <w:tcPr>
            <w:tcW w:type="dxa" w:w="1440"/>
            <w:tcMar>
              <w:top w:w="45" w:type="dxa"/>
              <w:start w:w="45" w:type="dxa"/>
              <w:bottom w:w="45" w:type="dxa"/>
              <w:end w:w="45" w:type="dxa"/>
            </w:tcMar>
            <w:vAlign w:val="center"/>
          </w:tcPr>
          <w:p>
            <w:r>
              <w:rPr>
                <w:rFonts w:ascii="Aptos" w:hAnsi="Aptos"/>
                <w:sz w:val="14"/>
              </w:rPr>
              <w:t>Indirect</w:t>
            </w:r>
          </w:p>
        </w:tc>
      </w:tr>
      <w:tr>
        <w:tc>
          <w:tcPr>
            <w:tcW w:type="dxa" w:w="7200"/>
            <w:tcMar>
              <w:top w:w="45" w:type="dxa"/>
              <w:start w:w="45" w:type="dxa"/>
              <w:bottom w:w="45" w:type="dxa"/>
              <w:end w:w="45" w:type="dxa"/>
            </w:tcMar>
            <w:vAlign w:val="center"/>
            <w:shd w:fill="F7F9FB"/>
          </w:tcPr>
          <w:p>
            <w:r>
              <w:rPr>
                <w:rFonts w:ascii="Aptos" w:hAnsi="Aptos"/>
                <w:sz w:val="14"/>
              </w:rPr>
              <w:t>TOTAL REQUESTED</w:t>
            </w:r>
          </w:p>
        </w:tc>
        <w:tc>
          <w:tcPr>
            <w:tcW w:type="dxa" w:w="1872"/>
            <w:tcMar>
              <w:top w:w="45" w:type="dxa"/>
              <w:start w:w="45" w:type="dxa"/>
              <w:bottom w:w="45" w:type="dxa"/>
              <w:end w:w="45" w:type="dxa"/>
            </w:tcMar>
            <w:vAlign w:val="center"/>
            <w:shd w:fill="F7F9FB"/>
          </w:tcPr>
          <w:p>
            <w:r>
              <w:rPr>
                <w:rFonts w:ascii="Aptos" w:hAnsi="Aptos"/>
                <w:sz w:val="14"/>
              </w:rPr>
              <w:t>138,000,000</w:t>
            </w:r>
          </w:p>
        </w:tc>
        <w:tc>
          <w:tcPr>
            <w:tcW w:type="dxa" w:w="1440"/>
            <w:tcMar>
              <w:top w:w="45" w:type="dxa"/>
              <w:start w:w="45" w:type="dxa"/>
              <w:bottom w:w="45" w:type="dxa"/>
              <w:end w:w="45" w:type="dxa"/>
            </w:tcMar>
            <w:vAlign w:val="center"/>
            <w:shd w:fill="F7F9FB"/>
          </w:tcPr>
          <w:p>
            <w:r>
              <w:rPr>
                <w:rFonts w:ascii="Aptos" w:hAnsi="Aptos"/>
                <w:sz w:val="14"/>
              </w:rPr>
            </w:r>
          </w:p>
        </w:tc>
      </w:tr>
    </w:tbl>
    <w:p>
      <w:pPr>
        <w:spacing w:after="0"/>
      </w:pPr>
    </w:p>
    <w:p>
      <w:pPr>
        <w:pStyle w:val="BodyText"/>
      </w:pPr>
      <w:r>
        <w:t>Indirect costs are KES 13,000,000, equivalent to approximately 9.4% of the total requested budget. Annex 6 provides the comprehensive itemised budget, including unit costs, quantities, annual phasing, responsible parties, indicative procurement approach and direct links to programme components. Consortium and public partners will contribute existing facilities, staff time, networks, Kenyan, Dutch and wider European Union market access, technical expertise, extension support and regulatory coordination as documented co-financing or in-kind contribution.</w:t>
      </w:r>
    </w:p>
    <w:p>
      <w:pPr>
        <w:pStyle w:val="Heading2"/>
        <w:keepNext/>
      </w:pPr>
      <w:r>
        <w:t>18.1 Indicative annual phasing</w:t>
      </w:r>
    </w:p>
    <w:tbl>
      <w:tblPr>
        <w:tblStyle w:val="TableGrid"/>
        <w:tblW w:type="auto" w:w="0"/>
        <w:jc w:val="center"/>
        <w:tblLook w:firstColumn="1" w:firstRow="1" w:lastColumn="0" w:lastRow="0" w:noHBand="0" w:noVBand="1" w:val="04A0"/>
      </w:tblPr>
      <w:tblGrid>
        <w:gridCol w:w="3360"/>
        <w:gridCol w:w="3360"/>
        <w:gridCol w:w="3360"/>
      </w:tblGrid>
      <w:tr>
        <w:trPr>
          <w:tblHeader w:val="true"/>
        </w:trPr>
        <w:tc>
          <w:tcPr>
            <w:tcW w:type="dxa" w:w="1440"/>
            <w:shd w:fill="1F4E78"/>
            <w:vAlign w:val="center"/>
            <w:tcMar>
              <w:top w:w="80" w:type="dxa"/>
              <w:start w:w="100" w:type="dxa"/>
              <w:bottom w:w="80" w:type="dxa"/>
              <w:end w:w="100" w:type="dxa"/>
            </w:tcMar>
          </w:tcPr>
          <w:p>
            <w:r>
              <w:t>Year</w:t>
            </w:r>
          </w:p>
        </w:tc>
        <w:tc>
          <w:tcPr>
            <w:tcW w:type="dxa" w:w="2016"/>
            <w:shd w:fill="1F4E78"/>
            <w:vAlign w:val="center"/>
            <w:tcMar>
              <w:top w:w="80" w:type="dxa"/>
              <w:start w:w="100" w:type="dxa"/>
              <w:bottom w:w="80" w:type="dxa"/>
              <w:end w:w="100" w:type="dxa"/>
            </w:tcMar>
          </w:tcPr>
          <w:p>
            <w:r>
              <w:t>KES</w:t>
            </w:r>
          </w:p>
        </w:tc>
        <w:tc>
          <w:tcPr>
            <w:tcW w:type="dxa" w:w="7056"/>
            <w:shd w:fill="1F4E78"/>
            <w:vAlign w:val="center"/>
            <w:tcMar>
              <w:top w:w="80" w:type="dxa"/>
              <w:start w:w="100" w:type="dxa"/>
              <w:bottom w:w="80" w:type="dxa"/>
              <w:end w:w="100" w:type="dxa"/>
            </w:tcMar>
          </w:tcPr>
          <w:p>
            <w:r>
              <w:t>Main emphasis</w:t>
            </w:r>
          </w:p>
        </w:tc>
      </w:tr>
      <w:tr>
        <w:tc>
          <w:tcPr>
            <w:tcW w:type="dxa" w:w="1440"/>
            <w:tcMar>
              <w:top w:w="80" w:type="dxa"/>
              <w:start w:w="100" w:type="dxa"/>
              <w:bottom w:w="80" w:type="dxa"/>
              <w:end w:w="100" w:type="dxa"/>
            </w:tcMar>
            <w:vAlign w:val="top"/>
          </w:tcPr>
          <w:p>
            <w:r>
              <w:t>Year 1</w:t>
            </w:r>
          </w:p>
        </w:tc>
        <w:tc>
          <w:tcPr>
            <w:tcW w:type="dxa" w:w="2016"/>
            <w:tcMar>
              <w:top w:w="80" w:type="dxa"/>
              <w:start w:w="100" w:type="dxa"/>
              <w:bottom w:w="80" w:type="dxa"/>
              <w:end w:w="100" w:type="dxa"/>
            </w:tcMar>
            <w:vAlign w:val="top"/>
          </w:tcPr>
          <w:p>
            <w:r>
              <w:t>52,000,000</w:t>
            </w:r>
          </w:p>
        </w:tc>
        <w:tc>
          <w:tcPr>
            <w:tcW w:type="dxa" w:w="7056"/>
            <w:tcMar>
              <w:top w:w="80" w:type="dxa"/>
              <w:start w:w="100" w:type="dxa"/>
              <w:bottom w:w="80" w:type="dxa"/>
              <w:end w:w="100" w:type="dxa"/>
            </w:tcMar>
            <w:vAlign w:val="top"/>
          </w:tcPr>
          <w:p>
            <w:r>
              <w:t>Inception, baseline, registration, platform build, standards and demonstrations.</w:t>
            </w:r>
          </w:p>
        </w:tc>
      </w:tr>
      <w:tr>
        <w:tc>
          <w:tcPr>
            <w:tcW w:type="dxa" w:w="1440"/>
            <w:tcMar>
              <w:top w:w="80" w:type="dxa"/>
              <w:start w:w="100" w:type="dxa"/>
              <w:bottom w:w="80" w:type="dxa"/>
              <w:end w:w="100" w:type="dxa"/>
            </w:tcMar>
            <w:vAlign w:val="top"/>
            <w:shd w:fill="EAF2F8"/>
          </w:tcPr>
          <w:p>
            <w:r>
              <w:t>Year 2</w:t>
            </w:r>
          </w:p>
        </w:tc>
        <w:tc>
          <w:tcPr>
            <w:tcW w:type="dxa" w:w="2016"/>
            <w:tcMar>
              <w:top w:w="80" w:type="dxa"/>
              <w:start w:w="100" w:type="dxa"/>
              <w:bottom w:w="80" w:type="dxa"/>
              <w:end w:w="100" w:type="dxa"/>
            </w:tcMar>
            <w:vAlign w:val="top"/>
            <w:shd w:fill="EAF2F8"/>
          </w:tcPr>
          <w:p>
            <w:r>
              <w:t>50,000,000</w:t>
            </w:r>
          </w:p>
        </w:tc>
        <w:tc>
          <w:tcPr>
            <w:tcW w:type="dxa" w:w="7056"/>
            <w:tcMar>
              <w:top w:w="80" w:type="dxa"/>
              <w:start w:w="100" w:type="dxa"/>
              <w:bottom w:w="80" w:type="dxa"/>
              <w:end w:w="100" w:type="dxa"/>
            </w:tcMar>
            <w:vAlign w:val="top"/>
            <w:shd w:fill="EAF2F8"/>
          </w:tcPr>
          <w:p>
            <w:r>
              <w:t>Deployment, training, internal controls, market trials, grants and first transactions.</w:t>
            </w:r>
          </w:p>
        </w:tc>
      </w:tr>
      <w:tr>
        <w:tc>
          <w:tcPr>
            <w:tcW w:type="dxa" w:w="1440"/>
            <w:tcMar>
              <w:top w:w="80" w:type="dxa"/>
              <w:start w:w="100" w:type="dxa"/>
              <w:bottom w:w="80" w:type="dxa"/>
              <w:end w:w="100" w:type="dxa"/>
            </w:tcMar>
            <w:vAlign w:val="top"/>
          </w:tcPr>
          <w:p>
            <w:r>
              <w:t>Year 3</w:t>
            </w:r>
          </w:p>
        </w:tc>
        <w:tc>
          <w:tcPr>
            <w:tcW w:type="dxa" w:w="2016"/>
            <w:tcMar>
              <w:top w:w="80" w:type="dxa"/>
              <w:start w:w="100" w:type="dxa"/>
              <w:bottom w:w="80" w:type="dxa"/>
              <w:end w:w="100" w:type="dxa"/>
            </w:tcMar>
            <w:vAlign w:val="top"/>
          </w:tcPr>
          <w:p>
            <w:r>
              <w:t>36,000,000</w:t>
            </w:r>
          </w:p>
        </w:tc>
        <w:tc>
          <w:tcPr>
            <w:tcW w:type="dxa" w:w="7056"/>
            <w:tcMar>
              <w:top w:w="80" w:type="dxa"/>
              <w:start w:w="100" w:type="dxa"/>
              <w:bottom w:w="80" w:type="dxa"/>
              <w:end w:w="100" w:type="dxa"/>
            </w:tcMar>
            <w:vAlign w:val="top"/>
          </w:tcPr>
          <w:p>
            <w:r>
              <w:t>Transaction scale, certification readiness, transition, evaluation and replication.</w:t>
            </w:r>
          </w:p>
        </w:tc>
      </w:tr>
    </w:tbl>
    <w:p>
      <w:pPr>
        <w:spacing w:after="0"/>
      </w:pPr>
    </w:p>
    <w:p>
      <w:pPr>
        <w:pStyle w:val="Heading2"/>
        <w:keepNext/>
      </w:pPr>
      <w:r>
        <w:t>18.2 Value-for-money approach</w:t>
      </w:r>
    </w:p>
    <w:p>
      <w:pPr>
        <w:pStyle w:val="ListBullet"/>
      </w:pPr>
      <w:r>
        <w:t>Use existing Sagalla and Mavueni assets rather than financing greenfield facilities from the grant.</w:t>
      </w:r>
    </w:p>
    <w:p>
      <w:pPr>
        <w:pStyle w:val="ListBullet"/>
      </w:pPr>
      <w:r>
        <w:t>Group-based certification and shared testing to reduce unit costs.</w:t>
      </w:r>
    </w:p>
    <w:p>
      <w:pPr>
        <w:pStyle w:val="ListBullet"/>
      </w:pPr>
      <w:r>
        <w:t>Modular digital architecture reusable across crops and counties.</w:t>
      </w:r>
    </w:p>
    <w:p>
      <w:pPr>
        <w:pStyle w:val="ListBullet"/>
      </w:pPr>
      <w:r>
        <w:t>Phased investment tied to market validation and approvals.</w:t>
      </w:r>
    </w:p>
    <w:p>
      <w:pPr>
        <w:pStyle w:val="ListBullet"/>
      </w:pPr>
      <w:r>
        <w:t>Competitive procurement and non-commercial rates for for-profit entities.</w:t>
      </w:r>
    </w:p>
    <w:p>
      <w:pPr>
        <w:pStyle w:val="ListBullet"/>
      </w:pPr>
      <w:r>
        <w:t>Cost-per-beneficiary and cost-per-transaction monitoring.</w:t>
      </w:r>
    </w:p>
    <w:p>
      <w:pPr>
        <w:pStyle w:val="ListBullet"/>
      </w:pPr>
      <w:r>
        <w:t>Co-financing and cost recovery introduced before project close.</w:t>
      </w:r>
    </w:p>
    <w:p>
      <w:pPr>
        <w:pStyle w:val="Heading1"/>
        <w:keepNext/>
      </w:pPr>
      <w:r>
        <w:t>19. Assumptions and Conditions Precedent</w:t>
      </w:r>
    </w:p>
    <w:p>
      <w:pPr>
        <w:pStyle w:val="ListBullet"/>
      </w:pPr>
      <w:r>
        <w:t>Consortium and public partners execute formal agreements defining roles and non-financial commitments.</w:t>
      </w:r>
    </w:p>
    <w:p>
      <w:pPr>
        <w:pStyle w:val="ListBullet"/>
      </w:pPr>
      <w:r>
        <w:t>Buyer demand and specifications are validated during inception.</w:t>
      </w:r>
    </w:p>
    <w:p>
      <w:pPr>
        <w:pStyle w:val="ListBullet"/>
      </w:pPr>
      <w:r>
        <w:t>Land and facilities used by the project have demonstrable legal rights and required county approvals.</w:t>
      </w:r>
    </w:p>
    <w:p>
      <w:pPr>
        <w:pStyle w:val="ListBullet"/>
      </w:pPr>
      <w:r>
        <w:t>No biodiesel production, storage or sale begins before applicable NEMA, EPRA, KEBS, fire, health and occupational-safety requirements are met.</w:t>
      </w:r>
    </w:p>
    <w:p>
      <w:pPr>
        <w:pStyle w:val="ListBullet"/>
      </w:pPr>
      <w:r>
        <w:t>Only approved planting material and technically suitable crops are promoted.</w:t>
      </w:r>
    </w:p>
    <w:p>
      <w:pPr>
        <w:pStyle w:val="ListBullet"/>
      </w:pPr>
      <w:r>
        <w:t>Beneficiary targets are confirmed by baseline and may be refined with donor approval.</w:t>
      </w:r>
    </w:p>
    <w:p>
      <w:pPr>
        <w:pStyle w:val="ListBullet"/>
      </w:pPr>
      <w:r>
        <w:t>Named service providers accept donor-compliant procurement, rate, data and performance conditions.</w:t>
      </w:r>
    </w:p>
    <w:p>
      <w:pPr>
        <w:pStyle w:val="ListBullet"/>
      </w:pPr>
      <w:r>
        <w:t>The requested amount and budget structure remain subject to full proposal negotiation.</w:t>
      </w:r>
    </w:p>
    <w:p>
      <w:pPr>
        <w:pStyle w:val="Heading1"/>
        <w:keepNext/>
      </w:pPr>
      <w:r>
        <w:t>20. Conclusion</w:t>
      </w:r>
    </w:p>
    <w:p>
      <w:pPr>
        <w:pStyle w:val="BodyText"/>
      </w:pPr>
      <w:r>
        <w:t>AfriEuro Links converts two fragmented value chains into one integrated market-access system. It combines Labl Group East Africa’s cotton-to-fashion capability and its Dutch gateway to wider European Union markets, Crostar Energy’s renewable-oil and biodiesel pathway, Goblis Foundation’s community capacity, Afrisol Technologies’ digital expertise, Afribiz Consultancy’s registration support and the mandates of county and national institutions. Its central proposition is practical: organise suppliers, standardise production, verify quality, trace every transaction, diversify household income and connect real products to real buyers. The project will demonstrate a commercially sustainable model in Taita Taveta and Kilifi, establish a diversified Kenya–EU market pipeline and prepare the model for responsible replication in Kenya and the wider East African region.</w:t>
      </w:r>
    </w:p>
    <w:p>
      <w:r>
        <w:br w:type="page"/>
      </w:r>
    </w:p>
    <w:p>
      <w:pPr>
        <w:pStyle w:val="Heading1"/>
        <w:keepNext/>
      </w:pPr>
      <w:r>
        <w:t>Annex 1. Detailed Logical Framework</w:t>
      </w:r>
    </w:p>
    <w:tbl>
      <w:tblPr>
        <w:tblStyle w:val="TableGrid"/>
        <w:tblW w:type="auto" w:w="0"/>
        <w:jc w:val="center"/>
        <w:tblLook w:firstColumn="1" w:firstRow="1" w:lastColumn="0" w:lastRow="0" w:noHBand="0" w:noVBand="1" w:val="04A0"/>
      </w:tblPr>
      <w:tblGrid>
        <w:gridCol w:w="2016"/>
        <w:gridCol w:w="2016"/>
        <w:gridCol w:w="2016"/>
        <w:gridCol w:w="2016"/>
        <w:gridCol w:w="2016"/>
      </w:tblGrid>
      <w:tr>
        <w:trPr>
          <w:tblHeader w:val="true"/>
        </w:trPr>
        <w:tc>
          <w:tcPr>
            <w:tcW w:type="dxa" w:w="1440"/>
            <w:shd w:fill="17375E"/>
            <w:vAlign w:val="center"/>
            <w:tcMar>
              <w:top w:w="45" w:type="dxa"/>
              <w:start w:w="45" w:type="dxa"/>
              <w:bottom w:w="45" w:type="dxa"/>
              <w:end w:w="45" w:type="dxa"/>
            </w:tcMar>
          </w:tcPr>
          <w:p>
            <w:r>
              <w:rPr>
                <w:rFonts w:ascii="Aptos" w:hAnsi="Aptos"/>
                <w:b/>
                <w:color w:val="FFFFFF"/>
                <w:sz w:val="13"/>
              </w:rPr>
              <w:t>Level</w:t>
            </w:r>
          </w:p>
        </w:tc>
        <w:tc>
          <w:tcPr>
            <w:tcW w:type="dxa" w:w="2448"/>
            <w:shd w:fill="17375E"/>
            <w:vAlign w:val="center"/>
            <w:tcMar>
              <w:top w:w="45" w:type="dxa"/>
              <w:start w:w="45" w:type="dxa"/>
              <w:bottom w:w="45" w:type="dxa"/>
              <w:end w:w="45" w:type="dxa"/>
            </w:tcMar>
          </w:tcPr>
          <w:p>
            <w:r>
              <w:rPr>
                <w:rFonts w:ascii="Aptos" w:hAnsi="Aptos"/>
                <w:b/>
                <w:color w:val="FFFFFF"/>
                <w:sz w:val="13"/>
              </w:rPr>
              <w:t>Result</w:t>
            </w:r>
          </w:p>
        </w:tc>
        <w:tc>
          <w:tcPr>
            <w:tcW w:type="dxa" w:w="2880"/>
            <w:shd w:fill="17375E"/>
            <w:vAlign w:val="center"/>
            <w:tcMar>
              <w:top w:w="45" w:type="dxa"/>
              <w:start w:w="45" w:type="dxa"/>
              <w:bottom w:w="45" w:type="dxa"/>
              <w:end w:w="45" w:type="dxa"/>
            </w:tcMar>
          </w:tcPr>
          <w:p>
            <w:r>
              <w:rPr>
                <w:rFonts w:ascii="Aptos" w:hAnsi="Aptos"/>
                <w:b/>
                <w:color w:val="FFFFFF"/>
                <w:sz w:val="13"/>
              </w:rPr>
              <w:t>Indicators/targets</w:t>
            </w:r>
          </w:p>
        </w:tc>
        <w:tc>
          <w:tcPr>
            <w:tcW w:type="dxa" w:w="2160"/>
            <w:shd w:fill="17375E"/>
            <w:vAlign w:val="center"/>
            <w:tcMar>
              <w:top w:w="45" w:type="dxa"/>
              <w:start w:w="45" w:type="dxa"/>
              <w:bottom w:w="45" w:type="dxa"/>
              <w:end w:w="45" w:type="dxa"/>
            </w:tcMar>
          </w:tcPr>
          <w:p>
            <w:r>
              <w:rPr>
                <w:rFonts w:ascii="Aptos" w:hAnsi="Aptos"/>
                <w:b/>
                <w:color w:val="FFFFFF"/>
                <w:sz w:val="13"/>
              </w:rPr>
              <w:t>Sources</w:t>
            </w:r>
          </w:p>
        </w:tc>
        <w:tc>
          <w:tcPr>
            <w:tcW w:type="dxa" w:w="1872"/>
            <w:shd w:fill="17375E"/>
            <w:vAlign w:val="center"/>
            <w:tcMar>
              <w:top w:w="45" w:type="dxa"/>
              <w:start w:w="45" w:type="dxa"/>
              <w:bottom w:w="45" w:type="dxa"/>
              <w:end w:w="45" w:type="dxa"/>
            </w:tcMar>
          </w:tcPr>
          <w:p>
            <w:r>
              <w:rPr>
                <w:rFonts w:ascii="Aptos" w:hAnsi="Aptos"/>
                <w:b/>
                <w:color w:val="FFFFFF"/>
                <w:sz w:val="13"/>
              </w:rPr>
              <w:t>Assumptions</w:t>
            </w:r>
          </w:p>
        </w:tc>
      </w:tr>
      <w:tr>
        <w:tc>
          <w:tcPr>
            <w:tcW w:type="dxa" w:w="1440"/>
            <w:tcMar>
              <w:top w:w="45" w:type="dxa"/>
              <w:start w:w="45" w:type="dxa"/>
              <w:bottom w:w="45" w:type="dxa"/>
              <w:end w:w="45" w:type="dxa"/>
            </w:tcMar>
            <w:vAlign w:val="center"/>
          </w:tcPr>
          <w:p>
            <w:r>
              <w:rPr>
                <w:rFonts w:ascii="Aptos" w:hAnsi="Aptos"/>
                <w:sz w:val="13"/>
              </w:rPr>
              <w:t>Impact</w:t>
            </w:r>
          </w:p>
        </w:tc>
        <w:tc>
          <w:tcPr>
            <w:tcW w:type="dxa" w:w="2448"/>
            <w:tcMar>
              <w:top w:w="45" w:type="dxa"/>
              <w:start w:w="45" w:type="dxa"/>
              <w:bottom w:w="45" w:type="dxa"/>
              <w:end w:w="45" w:type="dxa"/>
            </w:tcMar>
            <w:vAlign w:val="center"/>
          </w:tcPr>
          <w:p>
            <w:r>
              <w:rPr>
                <w:rFonts w:ascii="Aptos" w:hAnsi="Aptos"/>
                <w:sz w:val="13"/>
              </w:rPr>
              <w:t>Higher income, resilience and employment</w:t>
            </w:r>
          </w:p>
        </w:tc>
        <w:tc>
          <w:tcPr>
            <w:tcW w:type="dxa" w:w="2880"/>
            <w:tcMar>
              <w:top w:w="45" w:type="dxa"/>
              <w:start w:w="45" w:type="dxa"/>
              <w:bottom w:w="45" w:type="dxa"/>
              <w:end w:w="45" w:type="dxa"/>
            </w:tcMar>
            <w:vAlign w:val="center"/>
          </w:tcPr>
          <w:p>
            <w:r>
              <w:rPr>
                <w:rFonts w:ascii="Aptos" w:hAnsi="Aptos"/>
                <w:sz w:val="13"/>
              </w:rPr>
              <w:t>Net-income improvement measured against baseline; at least KES 250 million cumulative facilitated transactions; jobs and enterprises created or sustained.</w:t>
            </w:r>
          </w:p>
        </w:tc>
        <w:tc>
          <w:tcPr>
            <w:tcW w:type="dxa" w:w="2160"/>
            <w:tcMar>
              <w:top w:w="45" w:type="dxa"/>
              <w:start w:w="45" w:type="dxa"/>
              <w:bottom w:w="45" w:type="dxa"/>
              <w:end w:w="45" w:type="dxa"/>
            </w:tcMar>
            <w:vAlign w:val="center"/>
          </w:tcPr>
          <w:p>
            <w:r>
              <w:rPr>
                <w:rFonts w:ascii="Aptos" w:hAnsi="Aptos"/>
                <w:sz w:val="13"/>
              </w:rPr>
              <w:t>Baseline/endline, platform, buyer records</w:t>
            </w:r>
          </w:p>
        </w:tc>
        <w:tc>
          <w:tcPr>
            <w:tcW w:type="dxa" w:w="1872"/>
            <w:tcMar>
              <w:top w:w="45" w:type="dxa"/>
              <w:start w:w="45" w:type="dxa"/>
              <w:bottom w:w="45" w:type="dxa"/>
              <w:end w:w="45" w:type="dxa"/>
            </w:tcMar>
            <w:vAlign w:val="center"/>
          </w:tcPr>
          <w:p>
            <w:r>
              <w:rPr>
                <w:rFonts w:ascii="Aptos" w:hAnsi="Aptos"/>
                <w:sz w:val="13"/>
              </w:rPr>
              <w:t>Stable demand; no severe prolonged shocks</w:t>
            </w:r>
          </w:p>
        </w:tc>
      </w:tr>
      <w:tr>
        <w:tc>
          <w:tcPr>
            <w:tcW w:type="dxa" w:w="1440"/>
            <w:tcMar>
              <w:top w:w="45" w:type="dxa"/>
              <w:start w:w="45" w:type="dxa"/>
              <w:bottom w:w="45" w:type="dxa"/>
              <w:end w:w="45" w:type="dxa"/>
            </w:tcMar>
            <w:vAlign w:val="center"/>
            <w:shd w:fill="F7F9FB"/>
          </w:tcPr>
          <w:p>
            <w:r>
              <w:rPr>
                <w:rFonts w:ascii="Aptos" w:hAnsi="Aptos"/>
                <w:sz w:val="13"/>
              </w:rPr>
              <w:t>Outcome 1</w:t>
            </w:r>
          </w:p>
        </w:tc>
        <w:tc>
          <w:tcPr>
            <w:tcW w:type="dxa" w:w="2448"/>
            <w:tcMar>
              <w:top w:w="45" w:type="dxa"/>
              <w:start w:w="45" w:type="dxa"/>
              <w:bottom w:w="45" w:type="dxa"/>
              <w:end w:w="45" w:type="dxa"/>
            </w:tcMar>
            <w:vAlign w:val="center"/>
            <w:shd w:fill="F7F9FB"/>
          </w:tcPr>
          <w:p>
            <w:r>
              <w:rPr>
                <w:rFonts w:ascii="Aptos" w:hAnsi="Aptos"/>
                <w:sz w:val="13"/>
              </w:rPr>
              <w:t>Aggregation and SME integration</w:t>
            </w:r>
          </w:p>
        </w:tc>
        <w:tc>
          <w:tcPr>
            <w:tcW w:type="dxa" w:w="2880"/>
            <w:tcMar>
              <w:top w:w="45" w:type="dxa"/>
              <w:start w:w="45" w:type="dxa"/>
              <w:bottom w:w="45" w:type="dxa"/>
              <w:end w:w="45" w:type="dxa"/>
            </w:tcMar>
            <w:vAlign w:val="center"/>
            <w:shd w:fill="F7F9FB"/>
          </w:tcPr>
          <w:p>
            <w:r>
              <w:rPr>
                <w:rFonts w:ascii="Aptos" w:hAnsi="Aptos"/>
                <w:sz w:val="13"/>
              </w:rPr>
              <w:t>Infrastructure and service capacity aligned to up to 16,000 active farmers by 2029; at least 120 SMEs; at least 12 producer/aggregation structures; minimum 50% women and 35% youth among direct farmer beneficiaries.</w:t>
            </w:r>
          </w:p>
        </w:tc>
        <w:tc>
          <w:tcPr>
            <w:tcW w:type="dxa" w:w="2160"/>
            <w:tcMar>
              <w:top w:w="45" w:type="dxa"/>
              <w:start w:w="45" w:type="dxa"/>
              <w:bottom w:w="45" w:type="dxa"/>
              <w:end w:w="45" w:type="dxa"/>
            </w:tcMar>
            <w:vAlign w:val="center"/>
            <w:shd w:fill="F7F9FB"/>
          </w:tcPr>
          <w:p>
            <w:r>
              <w:rPr>
                <w:rFonts w:ascii="Aptos" w:hAnsi="Aptos"/>
                <w:sz w:val="13"/>
              </w:rPr>
              <w:t>Registry, agreements, governance records</w:t>
            </w:r>
          </w:p>
        </w:tc>
        <w:tc>
          <w:tcPr>
            <w:tcW w:type="dxa" w:w="1872"/>
            <w:tcMar>
              <w:top w:w="45" w:type="dxa"/>
              <w:start w:w="45" w:type="dxa"/>
              <w:bottom w:w="45" w:type="dxa"/>
              <w:end w:w="45" w:type="dxa"/>
            </w:tcMar>
            <w:vAlign w:val="center"/>
            <w:shd w:fill="F7F9FB"/>
          </w:tcPr>
          <w:p>
            <w:r>
              <w:rPr>
                <w:rFonts w:ascii="Aptos" w:hAnsi="Aptos"/>
                <w:sz w:val="13"/>
              </w:rPr>
              <w:t>Communities participate voluntarily</w:t>
            </w:r>
          </w:p>
        </w:tc>
      </w:tr>
      <w:tr>
        <w:tc>
          <w:tcPr>
            <w:tcW w:type="dxa" w:w="1440"/>
            <w:tcMar>
              <w:top w:w="45" w:type="dxa"/>
              <w:start w:w="45" w:type="dxa"/>
              <w:bottom w:w="45" w:type="dxa"/>
              <w:end w:w="45" w:type="dxa"/>
            </w:tcMar>
            <w:vAlign w:val="center"/>
          </w:tcPr>
          <w:p>
            <w:r>
              <w:rPr>
                <w:rFonts w:ascii="Aptos" w:hAnsi="Aptos"/>
                <w:sz w:val="13"/>
              </w:rPr>
              <w:t>Outcome 2</w:t>
            </w:r>
          </w:p>
        </w:tc>
        <w:tc>
          <w:tcPr>
            <w:tcW w:type="dxa" w:w="2448"/>
            <w:tcMar>
              <w:top w:w="45" w:type="dxa"/>
              <w:start w:w="45" w:type="dxa"/>
              <w:bottom w:w="45" w:type="dxa"/>
              <w:end w:w="45" w:type="dxa"/>
            </w:tcMar>
            <w:vAlign w:val="center"/>
          </w:tcPr>
          <w:p>
            <w:r>
              <w:rPr>
                <w:rFonts w:ascii="Aptos" w:hAnsi="Aptos"/>
                <w:sz w:val="13"/>
              </w:rPr>
              <w:t>Standards and QA</w:t>
            </w:r>
          </w:p>
        </w:tc>
        <w:tc>
          <w:tcPr>
            <w:tcW w:type="dxa" w:w="2880"/>
            <w:tcMar>
              <w:top w:w="45" w:type="dxa"/>
              <w:start w:w="45" w:type="dxa"/>
              <w:bottom w:w="45" w:type="dxa"/>
              <w:end w:w="45" w:type="dxa"/>
            </w:tcMar>
            <w:vAlign w:val="center"/>
          </w:tcPr>
          <w:p>
            <w:r>
              <w:rPr>
                <w:rFonts w:ascii="Aptos" w:hAnsi="Aptos"/>
                <w:sz w:val="13"/>
              </w:rPr>
              <w:t>Two QMS/ICS systems operational; at least 3,500 initial compliant producers; buyer-specific assurance scale tied to annual active-farmer gates; lower rejection rate.</w:t>
            </w:r>
          </w:p>
        </w:tc>
        <w:tc>
          <w:tcPr>
            <w:tcW w:type="dxa" w:w="2160"/>
            <w:tcMar>
              <w:top w:w="45" w:type="dxa"/>
              <w:start w:w="45" w:type="dxa"/>
              <w:bottom w:w="45" w:type="dxa"/>
              <w:end w:w="45" w:type="dxa"/>
            </w:tcMar>
            <w:vAlign w:val="center"/>
          </w:tcPr>
          <w:p>
            <w:r>
              <w:rPr>
                <w:rFonts w:ascii="Aptos" w:hAnsi="Aptos"/>
                <w:sz w:val="13"/>
              </w:rPr>
              <w:t>Audit, test and ICS records</w:t>
            </w:r>
          </w:p>
        </w:tc>
        <w:tc>
          <w:tcPr>
            <w:tcW w:type="dxa" w:w="1872"/>
            <w:tcMar>
              <w:top w:w="45" w:type="dxa"/>
              <w:start w:w="45" w:type="dxa"/>
              <w:bottom w:w="45" w:type="dxa"/>
              <w:end w:w="45" w:type="dxa"/>
            </w:tcMar>
            <w:vAlign w:val="center"/>
          </w:tcPr>
          <w:p>
            <w:r>
              <w:rPr>
                <w:rFonts w:ascii="Aptos" w:hAnsi="Aptos"/>
                <w:sz w:val="13"/>
              </w:rPr>
              <w:t>Standards remain commercially relevant</w:t>
            </w:r>
          </w:p>
        </w:tc>
      </w:tr>
      <w:tr>
        <w:tc>
          <w:tcPr>
            <w:tcW w:type="dxa" w:w="1440"/>
            <w:tcMar>
              <w:top w:w="45" w:type="dxa"/>
              <w:start w:w="45" w:type="dxa"/>
              <w:bottom w:w="45" w:type="dxa"/>
              <w:end w:w="45" w:type="dxa"/>
            </w:tcMar>
            <w:vAlign w:val="center"/>
            <w:shd w:fill="F7F9FB"/>
          </w:tcPr>
          <w:p>
            <w:r>
              <w:rPr>
                <w:rFonts w:ascii="Aptos" w:hAnsi="Aptos"/>
                <w:sz w:val="13"/>
              </w:rPr>
              <w:t>Outcome 3</w:t>
            </w:r>
          </w:p>
        </w:tc>
        <w:tc>
          <w:tcPr>
            <w:tcW w:type="dxa" w:w="2448"/>
            <w:tcMar>
              <w:top w:w="45" w:type="dxa"/>
              <w:start w:w="45" w:type="dxa"/>
              <w:bottom w:w="45" w:type="dxa"/>
              <w:end w:w="45" w:type="dxa"/>
            </w:tcMar>
            <w:vAlign w:val="center"/>
            <w:shd w:fill="F7F9FB"/>
          </w:tcPr>
          <w:p>
            <w:r>
              <w:rPr>
                <w:rFonts w:ascii="Aptos" w:hAnsi="Aptos"/>
                <w:sz w:val="13"/>
              </w:rPr>
              <w:t>Digital infrastructure</w:t>
            </w:r>
          </w:p>
        </w:tc>
        <w:tc>
          <w:tcPr>
            <w:tcW w:type="dxa" w:w="2880"/>
            <w:tcMar>
              <w:top w:w="45" w:type="dxa"/>
              <w:start w:w="45" w:type="dxa"/>
              <w:bottom w:w="45" w:type="dxa"/>
              <w:end w:w="45" w:type="dxa"/>
            </w:tcMar>
            <w:vAlign w:val="center"/>
            <w:shd w:fill="F7F9FB"/>
          </w:tcPr>
          <w:p>
            <w:r>
              <w:rPr>
                <w:rFonts w:ascii="Aptos" w:hAnsi="Aptos"/>
                <w:sz w:val="13"/>
              </w:rPr>
              <w:t>Modular platform live; GIS, payments, weather, AI, EPCIS-aligned traceability and permissioned-blockchain proofs operational; eligible-event coverage and active users monitored.</w:t>
            </w:r>
          </w:p>
        </w:tc>
        <w:tc>
          <w:tcPr>
            <w:tcW w:type="dxa" w:w="2160"/>
            <w:tcMar>
              <w:top w:w="45" w:type="dxa"/>
              <w:start w:w="45" w:type="dxa"/>
              <w:bottom w:w="45" w:type="dxa"/>
              <w:end w:w="45" w:type="dxa"/>
            </w:tcMar>
            <w:vAlign w:val="center"/>
            <w:shd w:fill="F7F9FB"/>
          </w:tcPr>
          <w:p>
            <w:r>
              <w:rPr>
                <w:rFonts w:ascii="Aptos" w:hAnsi="Aptos"/>
                <w:sz w:val="13"/>
              </w:rPr>
              <w:t>System logs, user audits</w:t>
            </w:r>
          </w:p>
        </w:tc>
        <w:tc>
          <w:tcPr>
            <w:tcW w:type="dxa" w:w="1872"/>
            <w:tcMar>
              <w:top w:w="45" w:type="dxa"/>
              <w:start w:w="45" w:type="dxa"/>
              <w:bottom w:w="45" w:type="dxa"/>
              <w:end w:w="45" w:type="dxa"/>
            </w:tcMar>
            <w:vAlign w:val="center"/>
            <w:shd w:fill="F7F9FB"/>
          </w:tcPr>
          <w:p>
            <w:r>
              <w:rPr>
                <w:rFonts w:ascii="Aptos" w:hAnsi="Aptos"/>
                <w:sz w:val="13"/>
              </w:rPr>
              <w:t>Connectivity and user adoption adequate</w:t>
            </w:r>
          </w:p>
        </w:tc>
      </w:tr>
      <w:tr>
        <w:tc>
          <w:tcPr>
            <w:tcW w:type="dxa" w:w="1440"/>
            <w:tcMar>
              <w:top w:w="45" w:type="dxa"/>
              <w:start w:w="45" w:type="dxa"/>
              <w:bottom w:w="45" w:type="dxa"/>
              <w:end w:w="45" w:type="dxa"/>
            </w:tcMar>
            <w:vAlign w:val="center"/>
          </w:tcPr>
          <w:p>
            <w:r>
              <w:rPr>
                <w:rFonts w:ascii="Aptos" w:hAnsi="Aptos"/>
                <w:sz w:val="13"/>
              </w:rPr>
              <w:t>Outcome 4</w:t>
            </w:r>
          </w:p>
        </w:tc>
        <w:tc>
          <w:tcPr>
            <w:tcW w:type="dxa" w:w="2448"/>
            <w:tcMar>
              <w:top w:w="45" w:type="dxa"/>
              <w:start w:w="45" w:type="dxa"/>
              <w:bottom w:w="45" w:type="dxa"/>
              <w:end w:w="45" w:type="dxa"/>
            </w:tcMar>
            <w:vAlign w:val="center"/>
          </w:tcPr>
          <w:p>
            <w:r>
              <w:rPr>
                <w:rFonts w:ascii="Aptos" w:hAnsi="Aptos"/>
                <w:sz w:val="13"/>
              </w:rPr>
              <w:t>Markets and transactions</w:t>
            </w:r>
          </w:p>
        </w:tc>
        <w:tc>
          <w:tcPr>
            <w:tcW w:type="dxa" w:w="2880"/>
            <w:tcMar>
              <w:top w:w="45" w:type="dxa"/>
              <w:start w:w="45" w:type="dxa"/>
              <w:bottom w:w="45" w:type="dxa"/>
              <w:end w:w="45" w:type="dxa"/>
            </w:tcMar>
            <w:vAlign w:val="center"/>
          </w:tcPr>
          <w:p>
            <w:r>
              <w:rPr>
                <w:rFonts w:ascii="Aptos" w:hAnsi="Aptos"/>
                <w:sz w:val="13"/>
              </w:rPr>
              <w:t>At least six structured agreements; four completed export or cross-border transaction cycles; at least KES 250 million cumulative facilitated transactions.</w:t>
            </w:r>
          </w:p>
        </w:tc>
        <w:tc>
          <w:tcPr>
            <w:tcW w:type="dxa" w:w="2160"/>
            <w:tcMar>
              <w:top w:w="45" w:type="dxa"/>
              <w:start w:w="45" w:type="dxa"/>
              <w:bottom w:w="45" w:type="dxa"/>
              <w:end w:w="45" w:type="dxa"/>
            </w:tcMar>
            <w:vAlign w:val="center"/>
          </w:tcPr>
          <w:p>
            <w:r>
              <w:rPr>
                <w:rFonts w:ascii="Aptos" w:hAnsi="Aptos"/>
                <w:sz w:val="13"/>
              </w:rPr>
              <w:t>Contracts, invoices, shipping records</w:t>
            </w:r>
          </w:p>
        </w:tc>
        <w:tc>
          <w:tcPr>
            <w:tcW w:type="dxa" w:w="1872"/>
            <w:tcMar>
              <w:top w:w="45" w:type="dxa"/>
              <w:start w:w="45" w:type="dxa"/>
              <w:bottom w:w="45" w:type="dxa"/>
              <w:end w:w="45" w:type="dxa"/>
            </w:tcMar>
            <w:vAlign w:val="center"/>
          </w:tcPr>
          <w:p>
            <w:r>
              <w:rPr>
                <w:rFonts w:ascii="Aptos" w:hAnsi="Aptos"/>
                <w:sz w:val="13"/>
              </w:rPr>
              <w:t>Buyers complete due diligence</w:t>
            </w:r>
          </w:p>
        </w:tc>
      </w:tr>
      <w:tr>
        <w:tc>
          <w:tcPr>
            <w:tcW w:type="dxa" w:w="1440"/>
            <w:tcMar>
              <w:top w:w="45" w:type="dxa"/>
              <w:start w:w="45" w:type="dxa"/>
              <w:bottom w:w="45" w:type="dxa"/>
              <w:end w:w="45" w:type="dxa"/>
            </w:tcMar>
            <w:vAlign w:val="center"/>
            <w:shd w:fill="F7F9FB"/>
          </w:tcPr>
          <w:p>
            <w:r>
              <w:rPr>
                <w:rFonts w:ascii="Aptos" w:hAnsi="Aptos"/>
                <w:sz w:val="13"/>
              </w:rPr>
              <w:t>Outcome 5</w:t>
            </w:r>
          </w:p>
        </w:tc>
        <w:tc>
          <w:tcPr>
            <w:tcW w:type="dxa" w:w="2448"/>
            <w:tcMar>
              <w:top w:w="45" w:type="dxa"/>
              <w:start w:w="45" w:type="dxa"/>
              <w:bottom w:w="45" w:type="dxa"/>
              <w:end w:w="45" w:type="dxa"/>
            </w:tcMar>
            <w:vAlign w:val="center"/>
            <w:shd w:fill="F7F9FB"/>
          </w:tcPr>
          <w:p>
            <w:r>
              <w:rPr>
                <w:rFonts w:ascii="Aptos" w:hAnsi="Aptos"/>
                <w:sz w:val="13"/>
              </w:rPr>
              <w:t>Inclusion</w:t>
            </w:r>
          </w:p>
        </w:tc>
        <w:tc>
          <w:tcPr>
            <w:tcW w:type="dxa" w:w="2880"/>
            <w:tcMar>
              <w:top w:w="45" w:type="dxa"/>
              <w:start w:w="45" w:type="dxa"/>
              <w:bottom w:w="45" w:type="dxa"/>
              <w:end w:w="45" w:type="dxa"/>
            </w:tcMar>
            <w:vAlign w:val="center"/>
            <w:shd w:fill="F7F9FB"/>
          </w:tcPr>
          <w:p>
            <w:r>
              <w:rPr>
                <w:rFonts w:ascii="Aptos" w:hAnsi="Aptos"/>
                <w:sz w:val="13"/>
              </w:rPr>
              <w:t>At least 50% women and 35% youth among direct farmer beneficiaries; at least 25 women- or youth-led service enterprises; direct registration and payment where applicable.</w:t>
            </w:r>
          </w:p>
        </w:tc>
        <w:tc>
          <w:tcPr>
            <w:tcW w:type="dxa" w:w="2160"/>
            <w:tcMar>
              <w:top w:w="45" w:type="dxa"/>
              <w:start w:w="45" w:type="dxa"/>
              <w:bottom w:w="45" w:type="dxa"/>
              <w:end w:w="45" w:type="dxa"/>
            </w:tcMar>
            <w:vAlign w:val="center"/>
            <w:shd w:fill="F7F9FB"/>
          </w:tcPr>
          <w:p>
            <w:r>
              <w:rPr>
                <w:rFonts w:ascii="Aptos" w:hAnsi="Aptos"/>
                <w:sz w:val="13"/>
              </w:rPr>
              <w:t>Disaggregated registry</w:t>
            </w:r>
          </w:p>
        </w:tc>
        <w:tc>
          <w:tcPr>
            <w:tcW w:type="dxa" w:w="1872"/>
            <w:tcMar>
              <w:top w:w="45" w:type="dxa"/>
              <w:start w:w="45" w:type="dxa"/>
              <w:bottom w:w="45" w:type="dxa"/>
              <w:end w:w="45" w:type="dxa"/>
            </w:tcMar>
            <w:vAlign w:val="center"/>
            <w:shd w:fill="F7F9FB"/>
          </w:tcPr>
          <w:p>
            <w:r>
              <w:rPr>
                <w:rFonts w:ascii="Aptos" w:hAnsi="Aptos"/>
                <w:sz w:val="13"/>
              </w:rPr>
              <w:t>Social norms do not prevent participation</w:t>
            </w:r>
          </w:p>
        </w:tc>
      </w:tr>
      <w:tr>
        <w:tc>
          <w:tcPr>
            <w:tcW w:type="dxa" w:w="1440"/>
            <w:tcMar>
              <w:top w:w="45" w:type="dxa"/>
              <w:start w:w="45" w:type="dxa"/>
              <w:bottom w:w="45" w:type="dxa"/>
              <w:end w:w="45" w:type="dxa"/>
            </w:tcMar>
            <w:vAlign w:val="center"/>
          </w:tcPr>
          <w:p>
            <w:r>
              <w:rPr>
                <w:rFonts w:ascii="Aptos" w:hAnsi="Aptos"/>
                <w:sz w:val="13"/>
              </w:rPr>
              <w:t>Output 1.1</w:t>
            </w:r>
          </w:p>
        </w:tc>
        <w:tc>
          <w:tcPr>
            <w:tcW w:type="dxa" w:w="2448"/>
            <w:tcMar>
              <w:top w:w="45" w:type="dxa"/>
              <w:start w:w="45" w:type="dxa"/>
              <w:bottom w:w="45" w:type="dxa"/>
              <w:end w:w="45" w:type="dxa"/>
            </w:tcMar>
            <w:vAlign w:val="center"/>
          </w:tcPr>
          <w:p>
            <w:r>
              <w:rPr>
                <w:rFonts w:ascii="Aptos" w:hAnsi="Aptos"/>
                <w:sz w:val="13"/>
              </w:rPr>
              <w:t>Baseline and market validation complete</w:t>
            </w:r>
          </w:p>
        </w:tc>
        <w:tc>
          <w:tcPr>
            <w:tcW w:type="dxa" w:w="2880"/>
            <w:tcMar>
              <w:top w:w="45" w:type="dxa"/>
              <w:start w:w="45" w:type="dxa"/>
              <w:bottom w:w="45" w:type="dxa"/>
              <w:end w:w="45" w:type="dxa"/>
            </w:tcMar>
            <w:vAlign w:val="center"/>
          </w:tcPr>
          <w:p>
            <w:r>
              <w:rPr>
                <w:rFonts w:ascii="Aptos" w:hAnsi="Aptos"/>
                <w:sz w:val="13"/>
              </w:rPr>
              <w:t>Reports approved by Month 6</w:t>
            </w:r>
          </w:p>
        </w:tc>
        <w:tc>
          <w:tcPr>
            <w:tcW w:type="dxa" w:w="2160"/>
            <w:tcMar>
              <w:top w:w="45" w:type="dxa"/>
              <w:start w:w="45" w:type="dxa"/>
              <w:bottom w:w="45" w:type="dxa"/>
              <w:end w:w="45" w:type="dxa"/>
            </w:tcMar>
            <w:vAlign w:val="center"/>
          </w:tcPr>
          <w:p>
            <w:r>
              <w:rPr>
                <w:rFonts w:ascii="Aptos" w:hAnsi="Aptos"/>
                <w:sz w:val="13"/>
              </w:rPr>
              <w:t>Approved reports</w:t>
            </w:r>
          </w:p>
        </w:tc>
        <w:tc>
          <w:tcPr>
            <w:tcW w:type="dxa" w:w="1872"/>
            <w:tcMar>
              <w:top w:w="45" w:type="dxa"/>
              <w:start w:w="45" w:type="dxa"/>
              <w:bottom w:w="45" w:type="dxa"/>
              <w:end w:w="45" w:type="dxa"/>
            </w:tcMar>
            <w:vAlign w:val="center"/>
          </w:tcPr>
          <w:p>
            <w:r>
              <w:rPr>
                <w:rFonts w:ascii="Aptos" w:hAnsi="Aptos"/>
                <w:sz w:val="13"/>
              </w:rPr>
              <w:t>Data accessible</w:t>
            </w:r>
          </w:p>
        </w:tc>
      </w:tr>
      <w:tr>
        <w:tc>
          <w:tcPr>
            <w:tcW w:type="dxa" w:w="1440"/>
            <w:tcMar>
              <w:top w:w="45" w:type="dxa"/>
              <w:start w:w="45" w:type="dxa"/>
              <w:bottom w:w="45" w:type="dxa"/>
              <w:end w:w="45" w:type="dxa"/>
            </w:tcMar>
            <w:vAlign w:val="center"/>
            <w:shd w:fill="F7F9FB"/>
          </w:tcPr>
          <w:p>
            <w:r>
              <w:rPr>
                <w:rFonts w:ascii="Aptos" w:hAnsi="Aptos"/>
                <w:sz w:val="13"/>
              </w:rPr>
              <w:t>Output 1.2</w:t>
            </w:r>
          </w:p>
        </w:tc>
        <w:tc>
          <w:tcPr>
            <w:tcW w:type="dxa" w:w="2448"/>
            <w:tcMar>
              <w:top w:w="45" w:type="dxa"/>
              <w:start w:w="45" w:type="dxa"/>
              <w:bottom w:w="45" w:type="dxa"/>
              <w:end w:w="45" w:type="dxa"/>
            </w:tcMar>
            <w:vAlign w:val="center"/>
            <w:shd w:fill="F7F9FB"/>
          </w:tcPr>
          <w:p>
            <w:r>
              <w:rPr>
                <w:rFonts w:ascii="Aptos" w:hAnsi="Aptos"/>
                <w:sz w:val="13"/>
              </w:rPr>
              <w:t>Clusters formed</w:t>
            </w:r>
          </w:p>
        </w:tc>
        <w:tc>
          <w:tcPr>
            <w:tcW w:type="dxa" w:w="2880"/>
            <w:tcMar>
              <w:top w:w="45" w:type="dxa"/>
              <w:start w:w="45" w:type="dxa"/>
              <w:bottom w:w="45" w:type="dxa"/>
              <w:end w:w="45" w:type="dxa"/>
            </w:tcMar>
            <w:vAlign w:val="center"/>
            <w:shd w:fill="F7F9FB"/>
          </w:tcPr>
          <w:p>
            <w:r>
              <w:rPr>
                <w:rFonts w:ascii="Aptos" w:hAnsi="Aptos"/>
                <w:sz w:val="13"/>
              </w:rPr>
              <w:t>At least 12 structures with approved charters and transparent governance, complaint and contracting arrangements.</w:t>
            </w:r>
          </w:p>
        </w:tc>
        <w:tc>
          <w:tcPr>
            <w:tcW w:type="dxa" w:w="2160"/>
            <w:tcMar>
              <w:top w:w="45" w:type="dxa"/>
              <w:start w:w="45" w:type="dxa"/>
              <w:bottom w:w="45" w:type="dxa"/>
              <w:end w:w="45" w:type="dxa"/>
            </w:tcMar>
            <w:vAlign w:val="center"/>
            <w:shd w:fill="F7F9FB"/>
          </w:tcPr>
          <w:p>
            <w:r>
              <w:rPr>
                <w:rFonts w:ascii="Aptos" w:hAnsi="Aptos"/>
                <w:sz w:val="13"/>
              </w:rPr>
              <w:t>Signed charters</w:t>
            </w:r>
          </w:p>
        </w:tc>
        <w:tc>
          <w:tcPr>
            <w:tcW w:type="dxa" w:w="1872"/>
            <w:tcMar>
              <w:top w:w="45" w:type="dxa"/>
              <w:start w:w="45" w:type="dxa"/>
              <w:bottom w:w="45" w:type="dxa"/>
              <w:end w:w="45" w:type="dxa"/>
            </w:tcMar>
            <w:vAlign w:val="center"/>
            <w:shd w:fill="F7F9FB"/>
          </w:tcPr>
          <w:p>
            <w:r>
              <w:rPr>
                <w:rFonts w:ascii="Aptos" w:hAnsi="Aptos"/>
                <w:sz w:val="13"/>
              </w:rPr>
              <w:t>Governance accepted</w:t>
            </w:r>
          </w:p>
        </w:tc>
      </w:tr>
      <w:tr>
        <w:tc>
          <w:tcPr>
            <w:tcW w:type="dxa" w:w="1440"/>
            <w:tcMar>
              <w:top w:w="45" w:type="dxa"/>
              <w:start w:w="45" w:type="dxa"/>
              <w:bottom w:w="45" w:type="dxa"/>
              <w:end w:w="45" w:type="dxa"/>
            </w:tcMar>
            <w:vAlign w:val="center"/>
          </w:tcPr>
          <w:p>
            <w:r>
              <w:rPr>
                <w:rFonts w:ascii="Aptos" w:hAnsi="Aptos"/>
                <w:sz w:val="13"/>
              </w:rPr>
              <w:t>Output 2.1</w:t>
            </w:r>
          </w:p>
        </w:tc>
        <w:tc>
          <w:tcPr>
            <w:tcW w:type="dxa" w:w="2448"/>
            <w:tcMar>
              <w:top w:w="45" w:type="dxa"/>
              <w:start w:w="45" w:type="dxa"/>
              <w:bottom w:w="45" w:type="dxa"/>
              <w:end w:w="45" w:type="dxa"/>
            </w:tcMar>
            <w:vAlign w:val="center"/>
          </w:tcPr>
          <w:p>
            <w:r>
              <w:rPr>
                <w:rFonts w:ascii="Aptos" w:hAnsi="Aptos"/>
                <w:sz w:val="13"/>
              </w:rPr>
              <w:t>Protocols and ICS developed</w:t>
            </w:r>
          </w:p>
        </w:tc>
        <w:tc>
          <w:tcPr>
            <w:tcW w:type="dxa" w:w="2880"/>
            <w:tcMar>
              <w:top w:w="45" w:type="dxa"/>
              <w:start w:w="45" w:type="dxa"/>
              <w:bottom w:w="45" w:type="dxa"/>
              <w:end w:w="45" w:type="dxa"/>
            </w:tcMar>
            <w:vAlign w:val="center"/>
          </w:tcPr>
          <w:p>
            <w:r>
              <w:rPr>
                <w:rFonts w:ascii="Aptos" w:hAnsi="Aptos"/>
                <w:sz w:val="13"/>
              </w:rPr>
              <w:t>Manuals and trained inspectors</w:t>
            </w:r>
          </w:p>
        </w:tc>
        <w:tc>
          <w:tcPr>
            <w:tcW w:type="dxa" w:w="2160"/>
            <w:tcMar>
              <w:top w:w="45" w:type="dxa"/>
              <w:start w:w="45" w:type="dxa"/>
              <w:bottom w:w="45" w:type="dxa"/>
              <w:end w:w="45" w:type="dxa"/>
            </w:tcMar>
            <w:vAlign w:val="center"/>
          </w:tcPr>
          <w:p>
            <w:r>
              <w:rPr>
                <w:rFonts w:ascii="Aptos" w:hAnsi="Aptos"/>
                <w:sz w:val="13"/>
              </w:rPr>
              <w:t>Manuals, attendance, audit</w:t>
            </w:r>
          </w:p>
        </w:tc>
        <w:tc>
          <w:tcPr>
            <w:tcW w:type="dxa" w:w="1872"/>
            <w:tcMar>
              <w:top w:w="45" w:type="dxa"/>
              <w:start w:w="45" w:type="dxa"/>
              <w:bottom w:w="45" w:type="dxa"/>
              <w:end w:w="45" w:type="dxa"/>
            </w:tcMar>
            <w:vAlign w:val="center"/>
          </w:tcPr>
          <w:p>
            <w:r>
              <w:rPr>
                <w:rFonts w:ascii="Aptos" w:hAnsi="Aptos"/>
                <w:sz w:val="13"/>
              </w:rPr>
              <w:t>Technical agencies cooperate</w:t>
            </w:r>
          </w:p>
        </w:tc>
      </w:tr>
      <w:tr>
        <w:tc>
          <w:tcPr>
            <w:tcW w:type="dxa" w:w="1440"/>
            <w:tcMar>
              <w:top w:w="45" w:type="dxa"/>
              <w:start w:w="45" w:type="dxa"/>
              <w:bottom w:w="45" w:type="dxa"/>
              <w:end w:w="45" w:type="dxa"/>
            </w:tcMar>
            <w:vAlign w:val="center"/>
            <w:shd w:fill="F7F9FB"/>
          </w:tcPr>
          <w:p>
            <w:r>
              <w:rPr>
                <w:rFonts w:ascii="Aptos" w:hAnsi="Aptos"/>
                <w:sz w:val="13"/>
              </w:rPr>
              <w:t>Output 3.1</w:t>
            </w:r>
          </w:p>
        </w:tc>
        <w:tc>
          <w:tcPr>
            <w:tcW w:type="dxa" w:w="2448"/>
            <w:tcMar>
              <w:top w:w="45" w:type="dxa"/>
              <w:start w:w="45" w:type="dxa"/>
              <w:bottom w:w="45" w:type="dxa"/>
              <w:end w:w="45" w:type="dxa"/>
            </w:tcMar>
            <w:vAlign w:val="center"/>
            <w:shd w:fill="F7F9FB"/>
          </w:tcPr>
          <w:p>
            <w:r>
              <w:rPr>
                <w:rFonts w:ascii="Aptos" w:hAnsi="Aptos"/>
                <w:sz w:val="13"/>
              </w:rPr>
              <w:t>Platform developed and deployed</w:t>
            </w:r>
          </w:p>
        </w:tc>
        <w:tc>
          <w:tcPr>
            <w:tcW w:type="dxa" w:w="2880"/>
            <w:tcMar>
              <w:top w:w="45" w:type="dxa"/>
              <w:start w:w="45" w:type="dxa"/>
              <w:bottom w:w="45" w:type="dxa"/>
              <w:end w:w="45" w:type="dxa"/>
            </w:tcMar>
            <w:vAlign w:val="center"/>
            <w:shd w:fill="F7F9FB"/>
          </w:tcPr>
          <w:p>
            <w:r>
              <w:rPr>
                <w:rFonts w:ascii="Aptos" w:hAnsi="Aptos"/>
                <w:sz w:val="13"/>
              </w:rPr>
              <w:t>Modules accepted and live</w:t>
            </w:r>
          </w:p>
        </w:tc>
        <w:tc>
          <w:tcPr>
            <w:tcW w:type="dxa" w:w="2160"/>
            <w:tcMar>
              <w:top w:w="45" w:type="dxa"/>
              <w:start w:w="45" w:type="dxa"/>
              <w:bottom w:w="45" w:type="dxa"/>
              <w:end w:w="45" w:type="dxa"/>
            </w:tcMar>
            <w:vAlign w:val="center"/>
            <w:shd w:fill="F7F9FB"/>
          </w:tcPr>
          <w:p>
            <w:r>
              <w:rPr>
                <w:rFonts w:ascii="Aptos" w:hAnsi="Aptos"/>
                <w:sz w:val="13"/>
              </w:rPr>
              <w:t>UAT, security test, deployment report</w:t>
            </w:r>
          </w:p>
        </w:tc>
        <w:tc>
          <w:tcPr>
            <w:tcW w:type="dxa" w:w="1872"/>
            <w:tcMar>
              <w:top w:w="45" w:type="dxa"/>
              <w:start w:w="45" w:type="dxa"/>
              <w:bottom w:w="45" w:type="dxa"/>
              <w:end w:w="45" w:type="dxa"/>
            </w:tcMar>
            <w:vAlign w:val="center"/>
            <w:shd w:fill="F7F9FB"/>
          </w:tcPr>
          <w:p>
            <w:r>
              <w:rPr>
                <w:rFonts w:ascii="Aptos" w:hAnsi="Aptos"/>
                <w:sz w:val="13"/>
              </w:rPr>
              <w:t>Afrisol delivers to specification</w:t>
            </w:r>
          </w:p>
        </w:tc>
      </w:tr>
      <w:tr>
        <w:tc>
          <w:tcPr>
            <w:tcW w:type="dxa" w:w="1440"/>
            <w:tcMar>
              <w:top w:w="45" w:type="dxa"/>
              <w:start w:w="45" w:type="dxa"/>
              <w:bottom w:w="45" w:type="dxa"/>
              <w:end w:w="45" w:type="dxa"/>
            </w:tcMar>
            <w:vAlign w:val="center"/>
          </w:tcPr>
          <w:p>
            <w:r>
              <w:rPr>
                <w:rFonts w:ascii="Aptos" w:hAnsi="Aptos"/>
                <w:sz w:val="13"/>
              </w:rPr>
              <w:t>Output 4.1</w:t>
            </w:r>
          </w:p>
        </w:tc>
        <w:tc>
          <w:tcPr>
            <w:tcW w:type="dxa" w:w="2448"/>
            <w:tcMar>
              <w:top w:w="45" w:type="dxa"/>
              <w:start w:w="45" w:type="dxa"/>
              <w:bottom w:w="45" w:type="dxa"/>
              <w:end w:w="45" w:type="dxa"/>
            </w:tcMar>
            <w:vAlign w:val="center"/>
          </w:tcPr>
          <w:p>
            <w:r>
              <w:rPr>
                <w:rFonts w:ascii="Aptos" w:hAnsi="Aptos"/>
                <w:sz w:val="13"/>
              </w:rPr>
              <w:t>Demonstration and processing trials completed</w:t>
            </w:r>
          </w:p>
        </w:tc>
        <w:tc>
          <w:tcPr>
            <w:tcW w:type="dxa" w:w="2880"/>
            <w:tcMar>
              <w:top w:w="45" w:type="dxa"/>
              <w:start w:w="45" w:type="dxa"/>
              <w:bottom w:w="45" w:type="dxa"/>
              <w:end w:w="45" w:type="dxa"/>
            </w:tcMar>
            <w:vAlign w:val="center"/>
          </w:tcPr>
          <w:p>
            <w:r>
              <w:rPr>
                <w:rFonts w:ascii="Aptos" w:hAnsi="Aptos"/>
                <w:sz w:val="13"/>
              </w:rPr>
              <w:t>Technical and commercial trial reports</w:t>
            </w:r>
          </w:p>
        </w:tc>
        <w:tc>
          <w:tcPr>
            <w:tcW w:type="dxa" w:w="2160"/>
            <w:tcMar>
              <w:top w:w="45" w:type="dxa"/>
              <w:start w:w="45" w:type="dxa"/>
              <w:bottom w:w="45" w:type="dxa"/>
              <w:end w:w="45" w:type="dxa"/>
            </w:tcMar>
            <w:vAlign w:val="center"/>
          </w:tcPr>
          <w:p>
            <w:r>
              <w:rPr>
                <w:rFonts w:ascii="Aptos" w:hAnsi="Aptos"/>
                <w:sz w:val="13"/>
              </w:rPr>
              <w:t>Reports, lab results</w:t>
            </w:r>
          </w:p>
        </w:tc>
        <w:tc>
          <w:tcPr>
            <w:tcW w:type="dxa" w:w="1872"/>
            <w:tcMar>
              <w:top w:w="45" w:type="dxa"/>
              <w:start w:w="45" w:type="dxa"/>
              <w:bottom w:w="45" w:type="dxa"/>
              <w:end w:w="45" w:type="dxa"/>
            </w:tcMar>
            <w:vAlign w:val="center"/>
          </w:tcPr>
          <w:p>
            <w:r>
              <w:rPr>
                <w:rFonts w:ascii="Aptos" w:hAnsi="Aptos"/>
                <w:sz w:val="13"/>
              </w:rPr>
              <w:t>Regulatory approvals obtained</w:t>
            </w:r>
          </w:p>
        </w:tc>
      </w:tr>
      <w:tr>
        <w:tc>
          <w:tcPr>
            <w:tcW w:type="dxa" w:w="1440"/>
            <w:tcMar>
              <w:top w:w="45" w:type="dxa"/>
              <w:start w:w="45" w:type="dxa"/>
              <w:bottom w:w="45" w:type="dxa"/>
              <w:end w:w="45" w:type="dxa"/>
            </w:tcMar>
            <w:vAlign w:val="center"/>
            <w:shd w:fill="F7F9FB"/>
          </w:tcPr>
          <w:p>
            <w:r>
              <w:rPr>
                <w:rFonts w:ascii="Aptos" w:hAnsi="Aptos"/>
                <w:sz w:val="13"/>
              </w:rPr>
              <w:t>Output 5.1</w:t>
            </w:r>
          </w:p>
        </w:tc>
        <w:tc>
          <w:tcPr>
            <w:tcW w:type="dxa" w:w="2448"/>
            <w:tcMar>
              <w:top w:w="45" w:type="dxa"/>
              <w:start w:w="45" w:type="dxa"/>
              <w:bottom w:w="45" w:type="dxa"/>
              <w:end w:w="45" w:type="dxa"/>
            </w:tcMar>
            <w:vAlign w:val="center"/>
            <w:shd w:fill="F7F9FB"/>
          </w:tcPr>
          <w:p>
            <w:r>
              <w:rPr>
                <w:rFonts w:ascii="Aptos" w:hAnsi="Aptos"/>
                <w:sz w:val="13"/>
              </w:rPr>
              <w:t>Training and community support delivered</w:t>
            </w:r>
          </w:p>
        </w:tc>
        <w:tc>
          <w:tcPr>
            <w:tcW w:type="dxa" w:w="2880"/>
            <w:tcMar>
              <w:top w:w="45" w:type="dxa"/>
              <w:start w:w="45" w:type="dxa"/>
              <w:bottom w:w="45" w:type="dxa"/>
              <w:end w:w="45" w:type="dxa"/>
            </w:tcMar>
            <w:vAlign w:val="center"/>
            <w:shd w:fill="F7F9FB"/>
          </w:tcPr>
          <w:p>
            <w:r>
              <w:rPr>
                <w:rFonts w:ascii="Aptos" w:hAnsi="Aptos"/>
                <w:sz w:val="13"/>
              </w:rPr>
              <w:t>Training completion and grant milestones</w:t>
            </w:r>
          </w:p>
        </w:tc>
        <w:tc>
          <w:tcPr>
            <w:tcW w:type="dxa" w:w="2160"/>
            <w:tcMar>
              <w:top w:w="45" w:type="dxa"/>
              <w:start w:w="45" w:type="dxa"/>
              <w:bottom w:w="45" w:type="dxa"/>
              <w:end w:w="45" w:type="dxa"/>
            </w:tcMar>
            <w:vAlign w:val="center"/>
            <w:shd w:fill="F7F9FB"/>
          </w:tcPr>
          <w:p>
            <w:r>
              <w:rPr>
                <w:rFonts w:ascii="Aptos" w:hAnsi="Aptos"/>
                <w:sz w:val="13"/>
              </w:rPr>
              <w:t>Training/grant records</w:t>
            </w:r>
          </w:p>
        </w:tc>
        <w:tc>
          <w:tcPr>
            <w:tcW w:type="dxa" w:w="1872"/>
            <w:tcMar>
              <w:top w:w="45" w:type="dxa"/>
              <w:start w:w="45" w:type="dxa"/>
              <w:bottom w:w="45" w:type="dxa"/>
              <w:end w:w="45" w:type="dxa"/>
            </w:tcMar>
            <w:vAlign w:val="center"/>
            <w:shd w:fill="F7F9FB"/>
          </w:tcPr>
          <w:p>
            <w:r>
              <w:rPr>
                <w:rFonts w:ascii="Aptos" w:hAnsi="Aptos"/>
                <w:sz w:val="13"/>
              </w:rPr>
              <w:t>Funds used for intended purpose</w:t>
            </w:r>
          </w:p>
        </w:tc>
      </w:tr>
    </w:tbl>
    <w:p>
      <w:pPr>
        <w:spacing w:after="0"/>
      </w:pPr>
    </w:p>
    <w:p>
      <w:pPr>
        <w:pStyle w:val="Heading1"/>
        <w:keepNext/>
      </w:pPr>
      <w:r>
        <w:t>Annex 2. Partner Responsibility Matrix</w:t>
      </w:r>
    </w:p>
    <w:tbl>
      <w:tblPr>
        <w:tblStyle w:val="TableGrid"/>
        <w:tblW w:type="auto" w:w="0"/>
        <w:jc w:val="center"/>
        <w:tblLook w:firstColumn="1" w:firstRow="1" w:lastColumn="0" w:lastRow="0" w:noHBand="0" w:noVBand="1" w:val="04A0"/>
      </w:tblPr>
      <w:tblGrid>
        <w:gridCol w:w="1260"/>
        <w:gridCol w:w="1260"/>
        <w:gridCol w:w="1260"/>
        <w:gridCol w:w="1260"/>
        <w:gridCol w:w="1260"/>
        <w:gridCol w:w="1260"/>
        <w:gridCol w:w="1260"/>
        <w:gridCol w:w="1260"/>
      </w:tblGrid>
      <w:tr>
        <w:trPr>
          <w:tblHeader w:val="true"/>
        </w:trPr>
        <w:tc>
          <w:tcPr>
            <w:tcW w:type="dxa" w:w="2736"/>
            <w:shd w:fill="17375E"/>
            <w:vAlign w:val="center"/>
            <w:tcMar>
              <w:top w:w="45" w:type="dxa"/>
              <w:start w:w="45" w:type="dxa"/>
              <w:bottom w:w="45" w:type="dxa"/>
              <w:end w:w="45" w:type="dxa"/>
            </w:tcMar>
          </w:tcPr>
          <w:p>
            <w:r>
              <w:rPr>
                <w:rFonts w:ascii="Aptos" w:hAnsi="Aptos"/>
                <w:b/>
                <w:color w:val="FFFFFF"/>
                <w:sz w:val="11"/>
              </w:rPr>
              <w:t>Function</w:t>
            </w:r>
          </w:p>
        </w:tc>
        <w:tc>
          <w:tcPr>
            <w:tcW w:type="dxa" w:w="864"/>
            <w:shd w:fill="17375E"/>
            <w:vAlign w:val="center"/>
            <w:tcMar>
              <w:top w:w="45" w:type="dxa"/>
              <w:start w:w="45" w:type="dxa"/>
              <w:bottom w:w="45" w:type="dxa"/>
              <w:end w:w="45" w:type="dxa"/>
            </w:tcMar>
          </w:tcPr>
          <w:p>
            <w:r>
              <w:rPr>
                <w:rFonts w:ascii="Aptos" w:hAnsi="Aptos"/>
                <w:b/>
                <w:color w:val="FFFFFF"/>
                <w:sz w:val="11"/>
              </w:rPr>
              <w:t>Labl</w:t>
            </w:r>
          </w:p>
        </w:tc>
        <w:tc>
          <w:tcPr>
            <w:tcW w:type="dxa" w:w="1008"/>
            <w:shd w:fill="17375E"/>
            <w:vAlign w:val="center"/>
            <w:tcMar>
              <w:top w:w="45" w:type="dxa"/>
              <w:start w:w="45" w:type="dxa"/>
              <w:bottom w:w="45" w:type="dxa"/>
              <w:end w:w="45" w:type="dxa"/>
            </w:tcMar>
          </w:tcPr>
          <w:p>
            <w:r>
              <w:rPr>
                <w:rFonts w:ascii="Aptos" w:hAnsi="Aptos"/>
                <w:b/>
                <w:color w:val="FFFFFF"/>
                <w:sz w:val="11"/>
              </w:rPr>
              <w:t>Crostar</w:t>
            </w:r>
          </w:p>
        </w:tc>
        <w:tc>
          <w:tcPr>
            <w:tcW w:type="dxa" w:w="1008"/>
            <w:shd w:fill="17375E"/>
            <w:vAlign w:val="center"/>
            <w:tcMar>
              <w:top w:w="45" w:type="dxa"/>
              <w:start w:w="45" w:type="dxa"/>
              <w:bottom w:w="45" w:type="dxa"/>
              <w:end w:w="45" w:type="dxa"/>
            </w:tcMar>
          </w:tcPr>
          <w:p>
            <w:r>
              <w:rPr>
                <w:rFonts w:ascii="Aptos" w:hAnsi="Aptos"/>
                <w:b/>
                <w:color w:val="FFFFFF"/>
                <w:sz w:val="11"/>
              </w:rPr>
              <w:t>Goblis</w:t>
            </w:r>
          </w:p>
        </w:tc>
        <w:tc>
          <w:tcPr>
            <w:tcW w:type="dxa" w:w="1008"/>
            <w:shd w:fill="17375E"/>
            <w:vAlign w:val="center"/>
            <w:tcMar>
              <w:top w:w="45" w:type="dxa"/>
              <w:start w:w="45" w:type="dxa"/>
              <w:bottom w:w="45" w:type="dxa"/>
              <w:end w:w="45" w:type="dxa"/>
            </w:tcMar>
          </w:tcPr>
          <w:p>
            <w:r>
              <w:rPr>
                <w:rFonts w:ascii="Aptos" w:hAnsi="Aptos"/>
                <w:b/>
                <w:color w:val="FFFFFF"/>
                <w:sz w:val="11"/>
              </w:rPr>
              <w:t>Afrisol</w:t>
            </w:r>
          </w:p>
        </w:tc>
        <w:tc>
          <w:tcPr>
            <w:tcW w:type="dxa" w:w="1008"/>
            <w:shd w:fill="17375E"/>
            <w:vAlign w:val="center"/>
            <w:tcMar>
              <w:top w:w="45" w:type="dxa"/>
              <w:start w:w="45" w:type="dxa"/>
              <w:bottom w:w="45" w:type="dxa"/>
              <w:end w:w="45" w:type="dxa"/>
            </w:tcMar>
          </w:tcPr>
          <w:p>
            <w:r>
              <w:rPr>
                <w:rFonts w:ascii="Aptos" w:hAnsi="Aptos"/>
                <w:b/>
                <w:color w:val="FFFFFF"/>
                <w:sz w:val="11"/>
              </w:rPr>
              <w:t>Afribiz</w:t>
            </w:r>
          </w:p>
        </w:tc>
        <w:tc>
          <w:tcPr>
            <w:tcW w:type="dxa" w:w="1440"/>
            <w:shd w:fill="17375E"/>
            <w:vAlign w:val="center"/>
            <w:tcMar>
              <w:top w:w="45" w:type="dxa"/>
              <w:start w:w="45" w:type="dxa"/>
              <w:bottom w:w="45" w:type="dxa"/>
              <w:end w:w="45" w:type="dxa"/>
            </w:tcMar>
          </w:tcPr>
          <w:p>
            <w:r>
              <w:rPr>
                <w:rFonts w:ascii="Aptos" w:hAnsi="Aptos"/>
                <w:b/>
                <w:color w:val="FFFFFF"/>
                <w:sz w:val="11"/>
              </w:rPr>
              <w:t>Counties/Agriculture</w:t>
            </w:r>
          </w:p>
        </w:tc>
        <w:tc>
          <w:tcPr>
            <w:tcW w:type="dxa" w:w="1872"/>
            <w:shd w:fill="17375E"/>
            <w:vAlign w:val="center"/>
            <w:tcMar>
              <w:top w:w="45" w:type="dxa"/>
              <w:start w:w="45" w:type="dxa"/>
              <w:bottom w:w="45" w:type="dxa"/>
              <w:end w:w="45" w:type="dxa"/>
            </w:tcMar>
          </w:tcPr>
          <w:p>
            <w:r>
              <w:rPr>
                <w:rFonts w:ascii="Aptos" w:hAnsi="Aptos"/>
                <w:b/>
                <w:color w:val="FFFFFF"/>
                <w:sz w:val="11"/>
              </w:rPr>
              <w:t>Energy/NEMA/other regulators</w:t>
            </w:r>
          </w:p>
        </w:tc>
      </w:tr>
      <w:tr>
        <w:tc>
          <w:tcPr>
            <w:tcW w:type="dxa" w:w="2736"/>
            <w:tcMar>
              <w:top w:w="45" w:type="dxa"/>
              <w:start w:w="45" w:type="dxa"/>
              <w:bottom w:w="45" w:type="dxa"/>
              <w:end w:w="45" w:type="dxa"/>
            </w:tcMar>
            <w:vAlign w:val="center"/>
          </w:tcPr>
          <w:p>
            <w:r>
              <w:rPr>
                <w:rFonts w:ascii="Aptos" w:hAnsi="Aptos"/>
                <w:sz w:val="11"/>
              </w:rPr>
              <w:t>Programme governance</w:t>
            </w:r>
          </w:p>
        </w:tc>
        <w:tc>
          <w:tcPr>
            <w:tcW w:type="dxa" w:w="864"/>
            <w:tcMar>
              <w:top w:w="45" w:type="dxa"/>
              <w:start w:w="45" w:type="dxa"/>
              <w:bottom w:w="45" w:type="dxa"/>
              <w:end w:w="45" w:type="dxa"/>
            </w:tcMar>
            <w:vAlign w:val="center"/>
          </w:tcPr>
          <w:p>
            <w:r>
              <w:rPr>
                <w:rFonts w:ascii="Aptos" w:hAnsi="Aptos"/>
                <w:sz w:val="11"/>
              </w:rPr>
              <w:t>A/R</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I</w:t>
            </w:r>
          </w:p>
        </w:tc>
        <w:tc>
          <w:tcPr>
            <w:tcW w:type="dxa" w:w="1008"/>
            <w:tcMar>
              <w:top w:w="45" w:type="dxa"/>
              <w:start w:w="45" w:type="dxa"/>
              <w:bottom w:w="45" w:type="dxa"/>
              <w:end w:w="45" w:type="dxa"/>
            </w:tcMar>
            <w:vAlign w:val="center"/>
          </w:tcPr>
          <w:p>
            <w:r>
              <w:rPr>
                <w:rFonts w:ascii="Aptos" w:hAnsi="Aptos"/>
                <w:sz w:val="11"/>
              </w:rPr>
              <w:t>I</w:t>
            </w:r>
          </w:p>
        </w:tc>
        <w:tc>
          <w:tcPr>
            <w:tcW w:type="dxa" w:w="1440"/>
            <w:tcMar>
              <w:top w:w="45" w:type="dxa"/>
              <w:start w:w="45" w:type="dxa"/>
              <w:bottom w:w="45" w:type="dxa"/>
              <w:end w:w="45" w:type="dxa"/>
            </w:tcMar>
            <w:vAlign w:val="center"/>
          </w:tcPr>
          <w:p>
            <w:r>
              <w:rPr>
                <w:rFonts w:ascii="Aptos" w:hAnsi="Aptos"/>
                <w:sz w:val="11"/>
              </w:rPr>
              <w:t>C</w:t>
            </w:r>
          </w:p>
        </w:tc>
        <w:tc>
          <w:tcPr>
            <w:tcW w:type="dxa" w:w="1872"/>
            <w:tcMar>
              <w:top w:w="45" w:type="dxa"/>
              <w:start w:w="45" w:type="dxa"/>
              <w:bottom w:w="45" w:type="dxa"/>
              <w:end w:w="45" w:type="dxa"/>
            </w:tcMar>
            <w:vAlign w:val="center"/>
          </w:tcPr>
          <w:p>
            <w:r>
              <w:rPr>
                <w:rFonts w:ascii="Aptos" w:hAnsi="Aptos"/>
                <w:sz w:val="11"/>
              </w:rPr>
              <w:t>C</w:t>
            </w:r>
          </w:p>
        </w:tc>
      </w:tr>
      <w:tr>
        <w:tc>
          <w:tcPr>
            <w:tcW w:type="dxa" w:w="2736"/>
            <w:tcMar>
              <w:top w:w="45" w:type="dxa"/>
              <w:start w:w="45" w:type="dxa"/>
              <w:bottom w:w="45" w:type="dxa"/>
              <w:end w:w="45" w:type="dxa"/>
            </w:tcMar>
            <w:vAlign w:val="center"/>
            <w:shd w:fill="F7F9FB"/>
          </w:tcPr>
          <w:p>
            <w:r>
              <w:rPr>
                <w:rFonts w:ascii="Aptos" w:hAnsi="Aptos"/>
                <w:sz w:val="11"/>
              </w:rPr>
              <w:t>Cotton/fashion pathway</w:t>
            </w:r>
          </w:p>
        </w:tc>
        <w:tc>
          <w:tcPr>
            <w:tcW w:type="dxa" w:w="864"/>
            <w:tcMar>
              <w:top w:w="45" w:type="dxa"/>
              <w:start w:w="45" w:type="dxa"/>
              <w:bottom w:w="45" w:type="dxa"/>
              <w:end w:w="45" w:type="dxa"/>
            </w:tcMar>
            <w:vAlign w:val="center"/>
            <w:shd w:fill="F7F9FB"/>
          </w:tcPr>
          <w:p>
            <w:r>
              <w:rPr>
                <w:rFonts w:ascii="Aptos" w:hAnsi="Aptos"/>
                <w:sz w:val="11"/>
              </w:rPr>
              <w:t>A/R</w:t>
            </w:r>
          </w:p>
        </w:tc>
        <w:tc>
          <w:tcPr>
            <w:tcW w:type="dxa" w:w="1008"/>
            <w:tcMar>
              <w:top w:w="45" w:type="dxa"/>
              <w:start w:w="45" w:type="dxa"/>
              <w:bottom w:w="45" w:type="dxa"/>
              <w:end w:w="45" w:type="dxa"/>
            </w:tcMar>
            <w:vAlign w:val="center"/>
            <w:shd w:fill="F7F9FB"/>
          </w:tcPr>
          <w:p>
            <w:r>
              <w:rPr>
                <w:rFonts w:ascii="Aptos" w:hAnsi="Aptos"/>
                <w:sz w:val="11"/>
              </w:rPr>
              <w:t>I</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I</w:t>
            </w:r>
          </w:p>
        </w:tc>
        <w:tc>
          <w:tcPr>
            <w:tcW w:type="dxa" w:w="1440"/>
            <w:tcMar>
              <w:top w:w="45" w:type="dxa"/>
              <w:start w:w="45" w:type="dxa"/>
              <w:bottom w:w="45" w:type="dxa"/>
              <w:end w:w="45" w:type="dxa"/>
            </w:tcMar>
            <w:vAlign w:val="center"/>
            <w:shd w:fill="F7F9FB"/>
          </w:tcPr>
          <w:p>
            <w:r>
              <w:rPr>
                <w:rFonts w:ascii="Aptos" w:hAnsi="Aptos"/>
                <w:sz w:val="11"/>
              </w:rPr>
              <w:t>C</w:t>
            </w:r>
          </w:p>
        </w:tc>
        <w:tc>
          <w:tcPr>
            <w:tcW w:type="dxa" w:w="1872"/>
            <w:tcMar>
              <w:top w:w="45" w:type="dxa"/>
              <w:start w:w="45" w:type="dxa"/>
              <w:bottom w:w="45" w:type="dxa"/>
              <w:end w:w="45" w:type="dxa"/>
            </w:tcMar>
            <w:vAlign w:val="center"/>
            <w:shd w:fill="F7F9FB"/>
          </w:tcPr>
          <w:p>
            <w:r>
              <w:rPr>
                <w:rFonts w:ascii="Aptos" w:hAnsi="Aptos"/>
                <w:sz w:val="11"/>
              </w:rPr>
              <w:t>C</w:t>
            </w:r>
          </w:p>
        </w:tc>
      </w:tr>
      <w:tr>
        <w:tc>
          <w:tcPr>
            <w:tcW w:type="dxa" w:w="2736"/>
            <w:tcMar>
              <w:top w:w="45" w:type="dxa"/>
              <w:start w:w="45" w:type="dxa"/>
              <w:bottom w:w="45" w:type="dxa"/>
              <w:end w:w="45" w:type="dxa"/>
            </w:tcMar>
            <w:vAlign w:val="center"/>
          </w:tcPr>
          <w:p>
            <w:r>
              <w:rPr>
                <w:rFonts w:ascii="Aptos" w:hAnsi="Aptos"/>
                <w:sz w:val="11"/>
              </w:rPr>
              <w:t>Oilseed/biodiesel pathway</w:t>
            </w:r>
          </w:p>
        </w:tc>
        <w:tc>
          <w:tcPr>
            <w:tcW w:type="dxa" w:w="864"/>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A/R</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I</w:t>
            </w:r>
          </w:p>
        </w:tc>
        <w:tc>
          <w:tcPr>
            <w:tcW w:type="dxa" w:w="1440"/>
            <w:tcMar>
              <w:top w:w="45" w:type="dxa"/>
              <w:start w:w="45" w:type="dxa"/>
              <w:bottom w:w="45" w:type="dxa"/>
              <w:end w:w="45" w:type="dxa"/>
            </w:tcMar>
            <w:vAlign w:val="center"/>
          </w:tcPr>
          <w:p>
            <w:r>
              <w:rPr>
                <w:rFonts w:ascii="Aptos" w:hAnsi="Aptos"/>
                <w:sz w:val="11"/>
              </w:rPr>
              <w:t>C</w:t>
            </w:r>
          </w:p>
        </w:tc>
        <w:tc>
          <w:tcPr>
            <w:tcW w:type="dxa" w:w="1872"/>
            <w:tcMar>
              <w:top w:w="45" w:type="dxa"/>
              <w:start w:w="45" w:type="dxa"/>
              <w:bottom w:w="45" w:type="dxa"/>
              <w:end w:w="45" w:type="dxa"/>
            </w:tcMar>
            <w:vAlign w:val="center"/>
          </w:tcPr>
          <w:p>
            <w:r>
              <w:rPr>
                <w:rFonts w:ascii="Aptos" w:hAnsi="Aptos"/>
                <w:sz w:val="11"/>
              </w:rPr>
              <w:t>C</w:t>
            </w:r>
          </w:p>
        </w:tc>
      </w:tr>
      <w:tr>
        <w:tc>
          <w:tcPr>
            <w:tcW w:type="dxa" w:w="2736"/>
            <w:tcMar>
              <w:top w:w="45" w:type="dxa"/>
              <w:start w:w="45" w:type="dxa"/>
              <w:bottom w:w="45" w:type="dxa"/>
              <w:end w:w="45" w:type="dxa"/>
            </w:tcMar>
            <w:vAlign w:val="center"/>
            <w:shd w:fill="F7F9FB"/>
          </w:tcPr>
          <w:p>
            <w:r>
              <w:rPr>
                <w:rFonts w:ascii="Aptos" w:hAnsi="Aptos"/>
                <w:sz w:val="11"/>
              </w:rPr>
              <w:t>Community mobilisation/training</w:t>
            </w:r>
          </w:p>
        </w:tc>
        <w:tc>
          <w:tcPr>
            <w:tcW w:type="dxa" w:w="864"/>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A/R</w:t>
            </w:r>
          </w:p>
        </w:tc>
        <w:tc>
          <w:tcPr>
            <w:tcW w:type="dxa" w:w="1008"/>
            <w:tcMar>
              <w:top w:w="45" w:type="dxa"/>
              <w:start w:w="45" w:type="dxa"/>
              <w:bottom w:w="45" w:type="dxa"/>
              <w:end w:w="45" w:type="dxa"/>
            </w:tcMar>
            <w:vAlign w:val="center"/>
            <w:shd w:fill="F7F9FB"/>
          </w:tcPr>
          <w:p>
            <w:r>
              <w:rPr>
                <w:rFonts w:ascii="Aptos" w:hAnsi="Aptos"/>
                <w:sz w:val="11"/>
              </w:rPr>
              <w:t>I</w:t>
            </w:r>
          </w:p>
        </w:tc>
        <w:tc>
          <w:tcPr>
            <w:tcW w:type="dxa" w:w="1008"/>
            <w:tcMar>
              <w:top w:w="45" w:type="dxa"/>
              <w:start w:w="45" w:type="dxa"/>
              <w:bottom w:w="45" w:type="dxa"/>
              <w:end w:w="45" w:type="dxa"/>
            </w:tcMar>
            <w:vAlign w:val="center"/>
            <w:shd w:fill="F7F9FB"/>
          </w:tcPr>
          <w:p>
            <w:r>
              <w:rPr>
                <w:rFonts w:ascii="Aptos" w:hAnsi="Aptos"/>
                <w:sz w:val="11"/>
              </w:rPr>
              <w:t>R</w:t>
            </w:r>
          </w:p>
        </w:tc>
        <w:tc>
          <w:tcPr>
            <w:tcW w:type="dxa" w:w="1440"/>
            <w:tcMar>
              <w:top w:w="45" w:type="dxa"/>
              <w:start w:w="45" w:type="dxa"/>
              <w:bottom w:w="45" w:type="dxa"/>
              <w:end w:w="45" w:type="dxa"/>
            </w:tcMar>
            <w:vAlign w:val="center"/>
            <w:shd w:fill="F7F9FB"/>
          </w:tcPr>
          <w:p>
            <w:r>
              <w:rPr>
                <w:rFonts w:ascii="Aptos" w:hAnsi="Aptos"/>
                <w:sz w:val="11"/>
              </w:rPr>
              <w:t>C</w:t>
            </w:r>
          </w:p>
        </w:tc>
        <w:tc>
          <w:tcPr>
            <w:tcW w:type="dxa" w:w="1872"/>
            <w:tcMar>
              <w:top w:w="45" w:type="dxa"/>
              <w:start w:w="45" w:type="dxa"/>
              <w:bottom w:w="45" w:type="dxa"/>
              <w:end w:w="45" w:type="dxa"/>
            </w:tcMar>
            <w:vAlign w:val="center"/>
            <w:shd w:fill="F7F9FB"/>
          </w:tcPr>
          <w:p>
            <w:r>
              <w:rPr>
                <w:rFonts w:ascii="Aptos" w:hAnsi="Aptos"/>
                <w:sz w:val="11"/>
              </w:rPr>
              <w:t>C</w:t>
            </w:r>
          </w:p>
        </w:tc>
      </w:tr>
      <w:tr>
        <w:tc>
          <w:tcPr>
            <w:tcW w:type="dxa" w:w="2736"/>
            <w:tcMar>
              <w:top w:w="45" w:type="dxa"/>
              <w:start w:w="45" w:type="dxa"/>
              <w:bottom w:w="45" w:type="dxa"/>
              <w:end w:w="45" w:type="dxa"/>
            </w:tcMar>
            <w:vAlign w:val="center"/>
          </w:tcPr>
          <w:p>
            <w:r>
              <w:rPr>
                <w:rFonts w:ascii="Aptos" w:hAnsi="Aptos"/>
                <w:sz w:val="11"/>
              </w:rPr>
              <w:t>Digital system</w:t>
            </w:r>
          </w:p>
        </w:tc>
        <w:tc>
          <w:tcPr>
            <w:tcW w:type="dxa" w:w="864"/>
            <w:tcMar>
              <w:top w:w="45" w:type="dxa"/>
              <w:start w:w="45" w:type="dxa"/>
              <w:bottom w:w="45" w:type="dxa"/>
              <w:end w:w="45" w:type="dxa"/>
            </w:tcMar>
            <w:vAlign w:val="center"/>
          </w:tcPr>
          <w:p>
            <w:r>
              <w:rPr>
                <w:rFonts w:ascii="Aptos" w:hAnsi="Aptos"/>
                <w:sz w:val="11"/>
              </w:rPr>
              <w:t>A</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R</w:t>
            </w:r>
          </w:p>
        </w:tc>
        <w:tc>
          <w:tcPr>
            <w:tcW w:type="dxa" w:w="1008"/>
            <w:tcMar>
              <w:top w:w="45" w:type="dxa"/>
              <w:start w:w="45" w:type="dxa"/>
              <w:bottom w:w="45" w:type="dxa"/>
              <w:end w:w="45" w:type="dxa"/>
            </w:tcMar>
            <w:vAlign w:val="center"/>
          </w:tcPr>
          <w:p>
            <w:r>
              <w:rPr>
                <w:rFonts w:ascii="Aptos" w:hAnsi="Aptos"/>
                <w:sz w:val="11"/>
              </w:rPr>
              <w:t>C</w:t>
            </w:r>
          </w:p>
        </w:tc>
        <w:tc>
          <w:tcPr>
            <w:tcW w:type="dxa" w:w="1440"/>
            <w:tcMar>
              <w:top w:w="45" w:type="dxa"/>
              <w:start w:w="45" w:type="dxa"/>
              <w:bottom w:w="45" w:type="dxa"/>
              <w:end w:w="45" w:type="dxa"/>
            </w:tcMar>
            <w:vAlign w:val="center"/>
          </w:tcPr>
          <w:p>
            <w:r>
              <w:rPr>
                <w:rFonts w:ascii="Aptos" w:hAnsi="Aptos"/>
                <w:sz w:val="11"/>
              </w:rPr>
              <w:t>I</w:t>
            </w:r>
          </w:p>
        </w:tc>
        <w:tc>
          <w:tcPr>
            <w:tcW w:type="dxa" w:w="1872"/>
            <w:tcMar>
              <w:top w:w="45" w:type="dxa"/>
              <w:start w:w="45" w:type="dxa"/>
              <w:bottom w:w="45" w:type="dxa"/>
              <w:end w:w="45" w:type="dxa"/>
            </w:tcMar>
            <w:vAlign w:val="center"/>
          </w:tcPr>
          <w:p>
            <w:r>
              <w:rPr>
                <w:rFonts w:ascii="Aptos" w:hAnsi="Aptos"/>
                <w:sz w:val="11"/>
              </w:rPr>
              <w:t>I</w:t>
            </w:r>
          </w:p>
        </w:tc>
      </w:tr>
      <w:tr>
        <w:tc>
          <w:tcPr>
            <w:tcW w:type="dxa" w:w="2736"/>
            <w:tcMar>
              <w:top w:w="45" w:type="dxa"/>
              <w:start w:w="45" w:type="dxa"/>
              <w:bottom w:w="45" w:type="dxa"/>
              <w:end w:w="45" w:type="dxa"/>
            </w:tcMar>
            <w:vAlign w:val="center"/>
            <w:shd w:fill="F7F9FB"/>
          </w:tcPr>
          <w:p>
            <w:r>
              <w:rPr>
                <w:rFonts w:ascii="Aptos" w:hAnsi="Aptos"/>
                <w:sz w:val="11"/>
              </w:rPr>
              <w:t>Registration/data collection</w:t>
            </w:r>
          </w:p>
        </w:tc>
        <w:tc>
          <w:tcPr>
            <w:tcW w:type="dxa" w:w="864"/>
            <w:tcMar>
              <w:top w:w="45" w:type="dxa"/>
              <w:start w:w="45" w:type="dxa"/>
              <w:bottom w:w="45" w:type="dxa"/>
              <w:end w:w="45" w:type="dxa"/>
            </w:tcMar>
            <w:vAlign w:val="center"/>
            <w:shd w:fill="F7F9FB"/>
          </w:tcPr>
          <w:p>
            <w:r>
              <w:rPr>
                <w:rFonts w:ascii="Aptos" w:hAnsi="Aptos"/>
                <w:sz w:val="11"/>
              </w:rPr>
              <w:t>A</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A/R</w:t>
            </w:r>
          </w:p>
        </w:tc>
        <w:tc>
          <w:tcPr>
            <w:tcW w:type="dxa" w:w="1440"/>
            <w:tcMar>
              <w:top w:w="45" w:type="dxa"/>
              <w:start w:w="45" w:type="dxa"/>
              <w:bottom w:w="45" w:type="dxa"/>
              <w:end w:w="45" w:type="dxa"/>
            </w:tcMar>
            <w:vAlign w:val="center"/>
            <w:shd w:fill="F7F9FB"/>
          </w:tcPr>
          <w:p>
            <w:r>
              <w:rPr>
                <w:rFonts w:ascii="Aptos" w:hAnsi="Aptos"/>
                <w:sz w:val="11"/>
              </w:rPr>
              <w:t>C</w:t>
            </w:r>
          </w:p>
        </w:tc>
        <w:tc>
          <w:tcPr>
            <w:tcW w:type="dxa" w:w="1872"/>
            <w:tcMar>
              <w:top w:w="45" w:type="dxa"/>
              <w:start w:w="45" w:type="dxa"/>
              <w:bottom w:w="45" w:type="dxa"/>
              <w:end w:w="45" w:type="dxa"/>
            </w:tcMar>
            <w:vAlign w:val="center"/>
            <w:shd w:fill="F7F9FB"/>
          </w:tcPr>
          <w:p>
            <w:r>
              <w:rPr>
                <w:rFonts w:ascii="Aptos" w:hAnsi="Aptos"/>
                <w:sz w:val="11"/>
              </w:rPr>
              <w:t>C</w:t>
            </w:r>
          </w:p>
        </w:tc>
      </w:tr>
      <w:tr>
        <w:tc>
          <w:tcPr>
            <w:tcW w:type="dxa" w:w="2736"/>
            <w:tcMar>
              <w:top w:w="45" w:type="dxa"/>
              <w:start w:w="45" w:type="dxa"/>
              <w:bottom w:w="45" w:type="dxa"/>
              <w:end w:w="45" w:type="dxa"/>
            </w:tcMar>
            <w:vAlign w:val="center"/>
          </w:tcPr>
          <w:p>
            <w:r>
              <w:rPr>
                <w:rFonts w:ascii="Aptos" w:hAnsi="Aptos"/>
                <w:sz w:val="11"/>
              </w:rPr>
              <w:t>Agronomy/food security</w:t>
            </w:r>
          </w:p>
        </w:tc>
        <w:tc>
          <w:tcPr>
            <w:tcW w:type="dxa" w:w="864"/>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R</w:t>
            </w:r>
          </w:p>
        </w:tc>
        <w:tc>
          <w:tcPr>
            <w:tcW w:type="dxa" w:w="1008"/>
            <w:tcMar>
              <w:top w:w="45" w:type="dxa"/>
              <w:start w:w="45" w:type="dxa"/>
              <w:bottom w:w="45" w:type="dxa"/>
              <w:end w:w="45" w:type="dxa"/>
            </w:tcMar>
            <w:vAlign w:val="center"/>
          </w:tcPr>
          <w:p>
            <w:r>
              <w:rPr>
                <w:rFonts w:ascii="Aptos" w:hAnsi="Aptos"/>
                <w:sz w:val="11"/>
              </w:rPr>
              <w:t>I</w:t>
            </w:r>
          </w:p>
        </w:tc>
        <w:tc>
          <w:tcPr>
            <w:tcW w:type="dxa" w:w="1008"/>
            <w:tcMar>
              <w:top w:w="45" w:type="dxa"/>
              <w:start w:w="45" w:type="dxa"/>
              <w:bottom w:w="45" w:type="dxa"/>
              <w:end w:w="45" w:type="dxa"/>
            </w:tcMar>
            <w:vAlign w:val="center"/>
          </w:tcPr>
          <w:p>
            <w:r>
              <w:rPr>
                <w:rFonts w:ascii="Aptos" w:hAnsi="Aptos"/>
                <w:sz w:val="11"/>
              </w:rPr>
              <w:t>R</w:t>
            </w:r>
          </w:p>
        </w:tc>
        <w:tc>
          <w:tcPr>
            <w:tcW w:type="dxa" w:w="1440"/>
            <w:tcMar>
              <w:top w:w="45" w:type="dxa"/>
              <w:start w:w="45" w:type="dxa"/>
              <w:bottom w:w="45" w:type="dxa"/>
              <w:end w:w="45" w:type="dxa"/>
            </w:tcMar>
            <w:vAlign w:val="center"/>
          </w:tcPr>
          <w:p>
            <w:r>
              <w:rPr>
                <w:rFonts w:ascii="Aptos" w:hAnsi="Aptos"/>
                <w:sz w:val="11"/>
              </w:rPr>
              <w:t>A/R</w:t>
            </w:r>
          </w:p>
        </w:tc>
        <w:tc>
          <w:tcPr>
            <w:tcW w:type="dxa" w:w="1872"/>
            <w:tcMar>
              <w:top w:w="45" w:type="dxa"/>
              <w:start w:w="45" w:type="dxa"/>
              <w:bottom w:w="45" w:type="dxa"/>
              <w:end w:w="45" w:type="dxa"/>
            </w:tcMar>
            <w:vAlign w:val="center"/>
          </w:tcPr>
          <w:p>
            <w:r>
              <w:rPr>
                <w:rFonts w:ascii="Aptos" w:hAnsi="Aptos"/>
                <w:sz w:val="11"/>
              </w:rPr>
              <w:t>C</w:t>
            </w:r>
          </w:p>
        </w:tc>
      </w:tr>
      <w:tr>
        <w:tc>
          <w:tcPr>
            <w:tcW w:type="dxa" w:w="2736"/>
            <w:tcMar>
              <w:top w:w="45" w:type="dxa"/>
              <w:start w:w="45" w:type="dxa"/>
              <w:bottom w:w="45" w:type="dxa"/>
              <w:end w:w="45" w:type="dxa"/>
            </w:tcMar>
            <w:vAlign w:val="center"/>
            <w:shd w:fill="F7F9FB"/>
          </w:tcPr>
          <w:p>
            <w:r>
              <w:rPr>
                <w:rFonts w:ascii="Aptos" w:hAnsi="Aptos"/>
                <w:sz w:val="11"/>
              </w:rPr>
              <w:t>QA and standards</w:t>
            </w:r>
          </w:p>
        </w:tc>
        <w:tc>
          <w:tcPr>
            <w:tcW w:type="dxa" w:w="864"/>
            <w:tcMar>
              <w:top w:w="45" w:type="dxa"/>
              <w:start w:w="45" w:type="dxa"/>
              <w:bottom w:w="45" w:type="dxa"/>
              <w:end w:w="45" w:type="dxa"/>
            </w:tcMar>
            <w:vAlign w:val="center"/>
            <w:shd w:fill="F7F9FB"/>
          </w:tcPr>
          <w:p>
            <w:r>
              <w:rPr>
                <w:rFonts w:ascii="Aptos" w:hAnsi="Aptos"/>
                <w:sz w:val="11"/>
              </w:rPr>
              <w:t>A/R</w:t>
            </w:r>
          </w:p>
        </w:tc>
        <w:tc>
          <w:tcPr>
            <w:tcW w:type="dxa" w:w="1008"/>
            <w:tcMar>
              <w:top w:w="45" w:type="dxa"/>
              <w:start w:w="45" w:type="dxa"/>
              <w:bottom w:w="45" w:type="dxa"/>
              <w:end w:w="45" w:type="dxa"/>
            </w:tcMar>
            <w:vAlign w:val="center"/>
            <w:shd w:fill="F7F9FB"/>
          </w:tcPr>
          <w:p>
            <w:r>
              <w:rPr>
                <w:rFonts w:ascii="Aptos" w:hAnsi="Aptos"/>
                <w:sz w:val="11"/>
              </w:rPr>
              <w:t>R</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440"/>
            <w:tcMar>
              <w:top w:w="45" w:type="dxa"/>
              <w:start w:w="45" w:type="dxa"/>
              <w:bottom w:w="45" w:type="dxa"/>
              <w:end w:w="45" w:type="dxa"/>
            </w:tcMar>
            <w:vAlign w:val="center"/>
            <w:shd w:fill="F7F9FB"/>
          </w:tcPr>
          <w:p>
            <w:r>
              <w:rPr>
                <w:rFonts w:ascii="Aptos" w:hAnsi="Aptos"/>
                <w:sz w:val="11"/>
              </w:rPr>
              <w:t>C</w:t>
            </w:r>
          </w:p>
        </w:tc>
        <w:tc>
          <w:tcPr>
            <w:tcW w:type="dxa" w:w="1872"/>
            <w:tcMar>
              <w:top w:w="45" w:type="dxa"/>
              <w:start w:w="45" w:type="dxa"/>
              <w:bottom w:w="45" w:type="dxa"/>
              <w:end w:w="45" w:type="dxa"/>
            </w:tcMar>
            <w:vAlign w:val="center"/>
            <w:shd w:fill="F7F9FB"/>
          </w:tcPr>
          <w:p>
            <w:r>
              <w:rPr>
                <w:rFonts w:ascii="Aptos" w:hAnsi="Aptos"/>
                <w:sz w:val="11"/>
              </w:rPr>
              <w:t>C</w:t>
            </w:r>
          </w:p>
        </w:tc>
      </w:tr>
      <w:tr>
        <w:tc>
          <w:tcPr>
            <w:tcW w:type="dxa" w:w="2736"/>
            <w:tcMar>
              <w:top w:w="45" w:type="dxa"/>
              <w:start w:w="45" w:type="dxa"/>
              <w:bottom w:w="45" w:type="dxa"/>
              <w:end w:w="45" w:type="dxa"/>
            </w:tcMar>
            <w:vAlign w:val="center"/>
          </w:tcPr>
          <w:p>
            <w:r>
              <w:rPr>
                <w:rFonts w:ascii="Aptos" w:hAnsi="Aptos"/>
                <w:sz w:val="11"/>
              </w:rPr>
              <w:t>Environmental/energy compliance</w:t>
            </w:r>
          </w:p>
        </w:tc>
        <w:tc>
          <w:tcPr>
            <w:tcW w:type="dxa" w:w="864"/>
            <w:tcMar>
              <w:top w:w="45" w:type="dxa"/>
              <w:start w:w="45" w:type="dxa"/>
              <w:bottom w:w="45" w:type="dxa"/>
              <w:end w:w="45" w:type="dxa"/>
            </w:tcMar>
            <w:vAlign w:val="center"/>
          </w:tcPr>
          <w:p>
            <w:r>
              <w:rPr>
                <w:rFonts w:ascii="Aptos" w:hAnsi="Aptos"/>
                <w:sz w:val="11"/>
              </w:rPr>
              <w:t>A</w:t>
            </w:r>
          </w:p>
        </w:tc>
        <w:tc>
          <w:tcPr>
            <w:tcW w:type="dxa" w:w="1008"/>
            <w:tcMar>
              <w:top w:w="45" w:type="dxa"/>
              <w:start w:w="45" w:type="dxa"/>
              <w:bottom w:w="45" w:type="dxa"/>
              <w:end w:w="45" w:type="dxa"/>
            </w:tcMar>
            <w:vAlign w:val="center"/>
          </w:tcPr>
          <w:p>
            <w:r>
              <w:rPr>
                <w:rFonts w:ascii="Aptos" w:hAnsi="Aptos"/>
                <w:sz w:val="11"/>
              </w:rPr>
              <w:t>R</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I</w:t>
            </w:r>
          </w:p>
        </w:tc>
        <w:tc>
          <w:tcPr>
            <w:tcW w:type="dxa" w:w="1008"/>
            <w:tcMar>
              <w:top w:w="45" w:type="dxa"/>
              <w:start w:w="45" w:type="dxa"/>
              <w:bottom w:w="45" w:type="dxa"/>
              <w:end w:w="45" w:type="dxa"/>
            </w:tcMar>
            <w:vAlign w:val="center"/>
          </w:tcPr>
          <w:p>
            <w:r>
              <w:rPr>
                <w:rFonts w:ascii="Aptos" w:hAnsi="Aptos"/>
                <w:sz w:val="11"/>
              </w:rPr>
              <w:t>I</w:t>
            </w:r>
          </w:p>
        </w:tc>
        <w:tc>
          <w:tcPr>
            <w:tcW w:type="dxa" w:w="1440"/>
            <w:tcMar>
              <w:top w:w="45" w:type="dxa"/>
              <w:start w:w="45" w:type="dxa"/>
              <w:bottom w:w="45" w:type="dxa"/>
              <w:end w:w="45" w:type="dxa"/>
            </w:tcMar>
            <w:vAlign w:val="center"/>
          </w:tcPr>
          <w:p>
            <w:r>
              <w:rPr>
                <w:rFonts w:ascii="Aptos" w:hAnsi="Aptos"/>
                <w:sz w:val="11"/>
              </w:rPr>
              <w:t>C</w:t>
            </w:r>
          </w:p>
        </w:tc>
        <w:tc>
          <w:tcPr>
            <w:tcW w:type="dxa" w:w="1872"/>
            <w:tcMar>
              <w:top w:w="45" w:type="dxa"/>
              <w:start w:w="45" w:type="dxa"/>
              <w:bottom w:w="45" w:type="dxa"/>
              <w:end w:w="45" w:type="dxa"/>
            </w:tcMar>
            <w:vAlign w:val="center"/>
          </w:tcPr>
          <w:p>
            <w:r>
              <w:rPr>
                <w:rFonts w:ascii="Aptos" w:hAnsi="Aptos"/>
                <w:sz w:val="11"/>
              </w:rPr>
              <w:t>R/C</w:t>
            </w:r>
          </w:p>
        </w:tc>
      </w:tr>
      <w:tr>
        <w:tc>
          <w:tcPr>
            <w:tcW w:type="dxa" w:w="2736"/>
            <w:tcMar>
              <w:top w:w="45" w:type="dxa"/>
              <w:start w:w="45" w:type="dxa"/>
              <w:bottom w:w="45" w:type="dxa"/>
              <w:end w:w="45" w:type="dxa"/>
            </w:tcMar>
            <w:vAlign w:val="center"/>
            <w:shd w:fill="F7F9FB"/>
          </w:tcPr>
          <w:p>
            <w:r>
              <w:rPr>
                <w:rFonts w:ascii="Aptos" w:hAnsi="Aptos"/>
                <w:sz w:val="11"/>
              </w:rPr>
              <w:t>Financial management</w:t>
            </w:r>
          </w:p>
        </w:tc>
        <w:tc>
          <w:tcPr>
            <w:tcW w:type="dxa" w:w="864"/>
            <w:tcMar>
              <w:top w:w="45" w:type="dxa"/>
              <w:start w:w="45" w:type="dxa"/>
              <w:bottom w:w="45" w:type="dxa"/>
              <w:end w:w="45" w:type="dxa"/>
            </w:tcMar>
            <w:vAlign w:val="center"/>
            <w:shd w:fill="F7F9FB"/>
          </w:tcPr>
          <w:p>
            <w:r>
              <w:rPr>
                <w:rFonts w:ascii="Aptos" w:hAnsi="Aptos"/>
                <w:sz w:val="11"/>
              </w:rPr>
              <w:t>A/R</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C</w:t>
            </w:r>
          </w:p>
        </w:tc>
        <w:tc>
          <w:tcPr>
            <w:tcW w:type="dxa" w:w="1008"/>
            <w:tcMar>
              <w:top w:w="45" w:type="dxa"/>
              <w:start w:w="45" w:type="dxa"/>
              <w:bottom w:w="45" w:type="dxa"/>
              <w:end w:w="45" w:type="dxa"/>
            </w:tcMar>
            <w:vAlign w:val="center"/>
            <w:shd w:fill="F7F9FB"/>
          </w:tcPr>
          <w:p>
            <w:r>
              <w:rPr>
                <w:rFonts w:ascii="Aptos" w:hAnsi="Aptos"/>
                <w:sz w:val="11"/>
              </w:rPr>
              <w:t>I</w:t>
            </w:r>
          </w:p>
        </w:tc>
        <w:tc>
          <w:tcPr>
            <w:tcW w:type="dxa" w:w="1008"/>
            <w:tcMar>
              <w:top w:w="45" w:type="dxa"/>
              <w:start w:w="45" w:type="dxa"/>
              <w:bottom w:w="45" w:type="dxa"/>
              <w:end w:w="45" w:type="dxa"/>
            </w:tcMar>
            <w:vAlign w:val="center"/>
            <w:shd w:fill="F7F9FB"/>
          </w:tcPr>
          <w:p>
            <w:r>
              <w:rPr>
                <w:rFonts w:ascii="Aptos" w:hAnsi="Aptos"/>
                <w:sz w:val="11"/>
              </w:rPr>
              <w:t>I</w:t>
            </w:r>
          </w:p>
        </w:tc>
        <w:tc>
          <w:tcPr>
            <w:tcW w:type="dxa" w:w="1440"/>
            <w:tcMar>
              <w:top w:w="45" w:type="dxa"/>
              <w:start w:w="45" w:type="dxa"/>
              <w:bottom w:w="45" w:type="dxa"/>
              <w:end w:w="45" w:type="dxa"/>
            </w:tcMar>
            <w:vAlign w:val="center"/>
            <w:shd w:fill="F7F9FB"/>
          </w:tcPr>
          <w:p>
            <w:r>
              <w:rPr>
                <w:rFonts w:ascii="Aptos" w:hAnsi="Aptos"/>
                <w:sz w:val="11"/>
              </w:rPr>
              <w:t>I</w:t>
            </w:r>
          </w:p>
        </w:tc>
        <w:tc>
          <w:tcPr>
            <w:tcW w:type="dxa" w:w="1872"/>
            <w:tcMar>
              <w:top w:w="45" w:type="dxa"/>
              <w:start w:w="45" w:type="dxa"/>
              <w:bottom w:w="45" w:type="dxa"/>
              <w:end w:w="45" w:type="dxa"/>
            </w:tcMar>
            <w:vAlign w:val="center"/>
            <w:shd w:fill="F7F9FB"/>
          </w:tcPr>
          <w:p>
            <w:r>
              <w:rPr>
                <w:rFonts w:ascii="Aptos" w:hAnsi="Aptos"/>
                <w:sz w:val="11"/>
              </w:rPr>
              <w:t>I</w:t>
            </w:r>
          </w:p>
        </w:tc>
      </w:tr>
      <w:tr>
        <w:tc>
          <w:tcPr>
            <w:tcW w:type="dxa" w:w="2736"/>
            <w:tcMar>
              <w:top w:w="45" w:type="dxa"/>
              <w:start w:w="45" w:type="dxa"/>
              <w:bottom w:w="45" w:type="dxa"/>
              <w:end w:w="45" w:type="dxa"/>
            </w:tcMar>
            <w:vAlign w:val="center"/>
          </w:tcPr>
          <w:p>
            <w:r>
              <w:rPr>
                <w:rFonts w:ascii="Aptos" w:hAnsi="Aptos"/>
                <w:sz w:val="11"/>
              </w:rPr>
              <w:t>M&amp;E and reporting</w:t>
            </w:r>
          </w:p>
        </w:tc>
        <w:tc>
          <w:tcPr>
            <w:tcW w:type="dxa" w:w="864"/>
            <w:tcMar>
              <w:top w:w="45" w:type="dxa"/>
              <w:start w:w="45" w:type="dxa"/>
              <w:bottom w:w="45" w:type="dxa"/>
              <w:end w:w="45" w:type="dxa"/>
            </w:tcMar>
            <w:vAlign w:val="center"/>
          </w:tcPr>
          <w:p>
            <w:r>
              <w:rPr>
                <w:rFonts w:ascii="Aptos" w:hAnsi="Aptos"/>
                <w:sz w:val="11"/>
              </w:rPr>
              <w:t>A/R</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C</w:t>
            </w:r>
          </w:p>
        </w:tc>
        <w:tc>
          <w:tcPr>
            <w:tcW w:type="dxa" w:w="1008"/>
            <w:tcMar>
              <w:top w:w="45" w:type="dxa"/>
              <w:start w:w="45" w:type="dxa"/>
              <w:bottom w:w="45" w:type="dxa"/>
              <w:end w:w="45" w:type="dxa"/>
            </w:tcMar>
            <w:vAlign w:val="center"/>
          </w:tcPr>
          <w:p>
            <w:r>
              <w:rPr>
                <w:rFonts w:ascii="Aptos" w:hAnsi="Aptos"/>
                <w:sz w:val="11"/>
              </w:rPr>
              <w:t>C</w:t>
            </w:r>
          </w:p>
        </w:tc>
        <w:tc>
          <w:tcPr>
            <w:tcW w:type="dxa" w:w="1440"/>
            <w:tcMar>
              <w:top w:w="45" w:type="dxa"/>
              <w:start w:w="45" w:type="dxa"/>
              <w:bottom w:w="45" w:type="dxa"/>
              <w:end w:w="45" w:type="dxa"/>
            </w:tcMar>
            <w:vAlign w:val="center"/>
          </w:tcPr>
          <w:p>
            <w:r>
              <w:rPr>
                <w:rFonts w:ascii="Aptos" w:hAnsi="Aptos"/>
                <w:sz w:val="11"/>
              </w:rPr>
              <w:t>C</w:t>
            </w:r>
          </w:p>
        </w:tc>
        <w:tc>
          <w:tcPr>
            <w:tcW w:type="dxa" w:w="1872"/>
            <w:tcMar>
              <w:top w:w="45" w:type="dxa"/>
              <w:start w:w="45" w:type="dxa"/>
              <w:bottom w:w="45" w:type="dxa"/>
              <w:end w:w="45" w:type="dxa"/>
            </w:tcMar>
            <w:vAlign w:val="center"/>
          </w:tcPr>
          <w:p>
            <w:r>
              <w:rPr>
                <w:rFonts w:ascii="Aptos" w:hAnsi="Aptos"/>
                <w:sz w:val="11"/>
              </w:rPr>
              <w:t>C</w:t>
            </w:r>
          </w:p>
        </w:tc>
      </w:tr>
    </w:tbl>
    <w:p>
      <w:pPr>
        <w:spacing w:after="0"/>
      </w:pPr>
    </w:p>
    <w:p>
      <w:pPr>
        <w:pStyle w:val="BodyText"/>
      </w:pPr>
      <w:r>
        <w:t>Key: A = Accountable; R = Responsible; C = Consulted; I = Informed.</w:t>
      </w:r>
    </w:p>
    <w:p>
      <w:pPr>
        <w:pStyle w:val="Heading1"/>
        <w:keepNext/>
      </w:pPr>
      <w:r>
        <w:t>Annex 3. Indicative Community Registration Workflow</w:t>
      </w:r>
    </w:p>
    <w:p>
      <w:pPr>
        <w:pStyle w:val="ListNumber"/>
      </w:pPr>
      <w:r>
        <w:t>Community entry and public information led by Goblis Foundation with county authorities.</w:t>
      </w:r>
    </w:p>
    <w:p>
      <w:pPr>
        <w:pStyle w:val="ListNumber"/>
      </w:pPr>
      <w:r>
        <w:t>Expression of interest by farmer, group, cooperative or SME.</w:t>
      </w:r>
    </w:p>
    <w:p>
      <w:pPr>
        <w:pStyle w:val="ListNumber"/>
      </w:pPr>
      <w:r>
        <w:t>Identity, contact, enterprise and eligibility documentation collected by Afribiz Consultancy Limited.</w:t>
      </w:r>
    </w:p>
    <w:p>
      <w:pPr>
        <w:pStyle w:val="ListNumber"/>
      </w:pPr>
      <w:r>
        <w:t>Informed consent and privacy notice acknowledged.</w:t>
      </w:r>
    </w:p>
    <w:p>
      <w:pPr>
        <w:pStyle w:val="ListNumber"/>
      </w:pPr>
      <w:r>
        <w:t>Farm or enterprise mapping and preliminary production profile completed.</w:t>
      </w:r>
    </w:p>
    <w:p>
      <w:pPr>
        <w:pStyle w:val="ListNumber"/>
      </w:pPr>
      <w:r>
        <w:t>Duplicate, sanction, conflict and eligibility checks performed.</w:t>
      </w:r>
    </w:p>
    <w:p>
      <w:pPr>
        <w:pStyle w:val="ListNumber"/>
      </w:pPr>
      <w:r>
        <w:t>M&amp;E sample verification and correction of exceptions.</w:t>
      </w:r>
    </w:p>
    <w:p>
      <w:pPr>
        <w:pStyle w:val="ListNumber"/>
      </w:pPr>
      <w:r>
        <w:t>Approval by authorised project officer; digital account activated.</w:t>
      </w:r>
    </w:p>
    <w:p>
      <w:pPr>
        <w:pStyle w:val="ListNumber"/>
      </w:pPr>
      <w:r>
        <w:t>Training, cluster assignment and contract readiness completed.</w:t>
      </w:r>
    </w:p>
    <w:p>
      <w:pPr>
        <w:pStyle w:val="ListNumber"/>
      </w:pPr>
      <w:r>
        <w:t>Periodic update, exit, complaint and data-correction procedures maintained.</w:t>
      </w:r>
    </w:p>
    <w:p>
      <w:pPr>
        <w:pStyle w:val="Heading1"/>
        <w:keepNext/>
      </w:pPr>
      <w:r>
        <w:t>Annex 4. Indicative Software Deliverables for Afrisol Technologies Limited</w:t>
      </w:r>
    </w:p>
    <w:tbl>
      <w:tblPr>
        <w:tblStyle w:val="TableGrid"/>
        <w:tblW w:type="auto" w:w="0"/>
        <w:jc w:val="center"/>
        <w:tblLook w:firstColumn="1" w:firstRow="1" w:lastColumn="0" w:lastRow="0" w:noHBand="0" w:noVBand="1" w:val="04A0"/>
      </w:tblPr>
      <w:tblGrid>
        <w:gridCol w:w="3360"/>
        <w:gridCol w:w="3360"/>
        <w:gridCol w:w="3360"/>
      </w:tblGrid>
      <w:tr>
        <w:trPr>
          <w:tblHeader w:val="true"/>
          <w:tblHeader w:val="true"/>
        </w:trPr>
        <w:tc>
          <w:tcPr>
            <w:tcW w:type="dxa" w:w="4320"/>
            <w:shd w:fill="17375E"/>
            <w:vAlign w:val="center"/>
            <w:tcMar>
              <w:top w:w="55" w:type="dxa"/>
              <w:start w:w="65" w:type="dxa"/>
              <w:bottom w:w="55" w:type="dxa"/>
              <w:end w:w="65" w:type="dxa"/>
            </w:tcMar>
          </w:tcPr>
          <w:p>
            <w:r>
              <w:rPr>
                <w:rFonts w:ascii="Aptos" w:hAnsi="Aptos"/>
                <w:b/>
                <w:color w:val="FFFFFF"/>
                <w:sz w:val="14"/>
              </w:rPr>
              <w:t>Deliverable</w:t>
            </w:r>
          </w:p>
        </w:tc>
        <w:tc>
          <w:tcPr>
            <w:tcW w:type="dxa" w:w="4320"/>
            <w:shd w:fill="17375E"/>
            <w:vAlign w:val="center"/>
            <w:tcMar>
              <w:top w:w="55" w:type="dxa"/>
              <w:start w:w="65" w:type="dxa"/>
              <w:bottom w:w="55" w:type="dxa"/>
              <w:end w:w="65" w:type="dxa"/>
            </w:tcMar>
          </w:tcPr>
          <w:p>
            <w:r>
              <w:rPr>
                <w:rFonts w:ascii="Aptos" w:hAnsi="Aptos"/>
                <w:b/>
                <w:color w:val="FFFFFF"/>
                <w:sz w:val="14"/>
              </w:rPr>
              <w:t>Acceptance evidence</w:t>
            </w:r>
          </w:p>
        </w:tc>
        <w:tc>
          <w:tcPr>
            <w:tcW w:type="dxa" w:w="1728"/>
            <w:shd w:fill="17375E"/>
            <w:vAlign w:val="center"/>
            <w:tcMar>
              <w:top w:w="55" w:type="dxa"/>
              <w:start w:w="65" w:type="dxa"/>
              <w:bottom w:w="55" w:type="dxa"/>
              <w:end w:w="65" w:type="dxa"/>
            </w:tcMar>
          </w:tcPr>
          <w:p>
            <w:r>
              <w:rPr>
                <w:rFonts w:ascii="Aptos" w:hAnsi="Aptos"/>
                <w:b/>
                <w:color w:val="FFFFFF"/>
                <w:sz w:val="14"/>
              </w:rPr>
              <w:t>Indicative deadline</w:t>
            </w:r>
          </w:p>
        </w:tc>
      </w:tr>
      <w:tr>
        <w:trPr>
          <w:cantSplit/>
        </w:trPr>
        <w:tc>
          <w:tcPr>
            <w:tcW w:type="dxa" w:w="4320"/>
            <w:tcMar>
              <w:top w:w="55" w:type="dxa"/>
              <w:start w:w="65" w:type="dxa"/>
              <w:bottom w:w="55" w:type="dxa"/>
              <w:end w:w="65" w:type="dxa"/>
            </w:tcMar>
            <w:vAlign w:val="top"/>
          </w:tcPr>
          <w:p>
            <w:r>
              <w:rPr>
                <w:rFonts w:ascii="Aptos" w:hAnsi="Aptos"/>
                <w:sz w:val="14"/>
              </w:rPr>
              <w:t>Discovery and requirements specification</w:t>
            </w:r>
          </w:p>
        </w:tc>
        <w:tc>
          <w:tcPr>
            <w:tcW w:type="dxa" w:w="4320"/>
            <w:tcMar>
              <w:top w:w="55" w:type="dxa"/>
              <w:start w:w="65" w:type="dxa"/>
              <w:bottom w:w="55" w:type="dxa"/>
              <w:end w:w="65" w:type="dxa"/>
            </w:tcMar>
            <w:vAlign w:val="top"/>
          </w:tcPr>
          <w:p>
            <w:r>
              <w:rPr>
                <w:rFonts w:ascii="Aptos" w:hAnsi="Aptos"/>
                <w:sz w:val="14"/>
              </w:rPr>
              <w:t>Approved requirements, process maps and data dictionary</w:t>
            </w:r>
          </w:p>
        </w:tc>
        <w:tc>
          <w:tcPr>
            <w:tcW w:type="dxa" w:w="1728"/>
            <w:tcMar>
              <w:top w:w="55" w:type="dxa"/>
              <w:start w:w="65" w:type="dxa"/>
              <w:bottom w:w="55" w:type="dxa"/>
              <w:end w:w="65" w:type="dxa"/>
            </w:tcMar>
            <w:vAlign w:val="top"/>
          </w:tcPr>
          <w:p>
            <w:r>
              <w:rPr>
                <w:rFonts w:ascii="Aptos" w:hAnsi="Aptos"/>
                <w:sz w:val="14"/>
              </w:rPr>
              <w:t>Month 3</w:t>
            </w:r>
          </w:p>
        </w:tc>
      </w:tr>
      <w:tr>
        <w:trPr>
          <w:cantSplit/>
        </w:trPr>
        <w:tc>
          <w:tcPr>
            <w:tcW w:type="dxa" w:w="4320"/>
            <w:tcMar>
              <w:top w:w="55" w:type="dxa"/>
              <w:start w:w="65" w:type="dxa"/>
              <w:bottom w:w="55" w:type="dxa"/>
              <w:end w:w="65" w:type="dxa"/>
            </w:tcMar>
            <w:vAlign w:val="top"/>
            <w:shd w:fill="F7F9FB"/>
          </w:tcPr>
          <w:p>
            <w:r>
              <w:rPr>
                <w:rFonts w:ascii="Aptos" w:hAnsi="Aptos"/>
                <w:sz w:val="14"/>
              </w:rPr>
              <w:t>Architecture and prototype</w:t>
            </w:r>
          </w:p>
        </w:tc>
        <w:tc>
          <w:tcPr>
            <w:tcW w:type="dxa" w:w="4320"/>
            <w:tcMar>
              <w:top w:w="55" w:type="dxa"/>
              <w:start w:w="65" w:type="dxa"/>
              <w:bottom w:w="55" w:type="dxa"/>
              <w:end w:w="65" w:type="dxa"/>
            </w:tcMar>
            <w:vAlign w:val="top"/>
            <w:shd w:fill="F7F9FB"/>
          </w:tcPr>
          <w:p>
            <w:r>
              <w:rPr>
                <w:rFonts w:ascii="Aptos" w:hAnsi="Aptos"/>
                <w:sz w:val="14"/>
              </w:rPr>
              <w:t>Architecture, security design and clickable prototype</w:t>
            </w:r>
          </w:p>
        </w:tc>
        <w:tc>
          <w:tcPr>
            <w:tcW w:type="dxa" w:w="1728"/>
            <w:tcMar>
              <w:top w:w="55" w:type="dxa"/>
              <w:start w:w="65" w:type="dxa"/>
              <w:bottom w:w="55" w:type="dxa"/>
              <w:end w:w="65" w:type="dxa"/>
            </w:tcMar>
            <w:vAlign w:val="top"/>
            <w:shd w:fill="F7F9FB"/>
          </w:tcPr>
          <w:p>
            <w:r>
              <w:rPr>
                <w:rFonts w:ascii="Aptos" w:hAnsi="Aptos"/>
                <w:sz w:val="14"/>
              </w:rPr>
              <w:t>Month 5</w:t>
            </w:r>
          </w:p>
        </w:tc>
      </w:tr>
      <w:tr>
        <w:trPr>
          <w:cantSplit/>
        </w:trPr>
        <w:tc>
          <w:tcPr>
            <w:tcW w:type="dxa" w:w="4320"/>
            <w:tcMar>
              <w:top w:w="55" w:type="dxa"/>
              <w:start w:w="65" w:type="dxa"/>
              <w:bottom w:w="55" w:type="dxa"/>
              <w:end w:w="65" w:type="dxa"/>
            </w:tcMar>
            <w:vAlign w:val="top"/>
          </w:tcPr>
          <w:p>
            <w:r>
              <w:rPr>
                <w:rFonts w:ascii="Aptos" w:hAnsi="Aptos"/>
                <w:sz w:val="14"/>
              </w:rPr>
              <w:t>Minimum viable platform</w:t>
            </w:r>
          </w:p>
        </w:tc>
        <w:tc>
          <w:tcPr>
            <w:tcW w:type="dxa" w:w="4320"/>
            <w:tcMar>
              <w:top w:w="55" w:type="dxa"/>
              <w:start w:w="65" w:type="dxa"/>
              <w:bottom w:w="55" w:type="dxa"/>
              <w:end w:w="65" w:type="dxa"/>
            </w:tcMar>
            <w:vAlign w:val="top"/>
          </w:tcPr>
          <w:p>
            <w:r>
              <w:rPr>
                <w:rFonts w:ascii="Aptos" w:hAnsi="Aptos"/>
                <w:sz w:val="14"/>
              </w:rPr>
              <w:t>Core registry, traceability and quality modules pass UAT</w:t>
            </w:r>
          </w:p>
        </w:tc>
        <w:tc>
          <w:tcPr>
            <w:tcW w:type="dxa" w:w="1728"/>
            <w:tcMar>
              <w:top w:w="55" w:type="dxa"/>
              <w:start w:w="65" w:type="dxa"/>
              <w:bottom w:w="55" w:type="dxa"/>
              <w:end w:w="65" w:type="dxa"/>
            </w:tcMar>
            <w:vAlign w:val="top"/>
          </w:tcPr>
          <w:p>
            <w:r>
              <w:rPr>
                <w:rFonts w:ascii="Aptos" w:hAnsi="Aptos"/>
                <w:sz w:val="14"/>
              </w:rPr>
              <w:t>Month 9</w:t>
            </w:r>
          </w:p>
        </w:tc>
      </w:tr>
      <w:tr>
        <w:trPr>
          <w:cantSplit/>
        </w:trPr>
        <w:tc>
          <w:tcPr>
            <w:tcW w:type="dxa" w:w="4320"/>
            <w:tcMar>
              <w:top w:w="55" w:type="dxa"/>
              <w:start w:w="65" w:type="dxa"/>
              <w:bottom w:w="55" w:type="dxa"/>
              <w:end w:w="65" w:type="dxa"/>
            </w:tcMar>
            <w:vAlign w:val="top"/>
            <w:shd w:fill="F7F9FB"/>
          </w:tcPr>
          <w:p>
            <w:r>
              <w:rPr>
                <w:rFonts w:ascii="Aptos" w:hAnsi="Aptos"/>
                <w:sz w:val="14"/>
              </w:rPr>
              <w:t>Transaction and grant modules</w:t>
            </w:r>
          </w:p>
        </w:tc>
        <w:tc>
          <w:tcPr>
            <w:tcW w:type="dxa" w:w="4320"/>
            <w:tcMar>
              <w:top w:w="55" w:type="dxa"/>
              <w:start w:w="65" w:type="dxa"/>
              <w:bottom w:w="55" w:type="dxa"/>
              <w:end w:w="65" w:type="dxa"/>
            </w:tcMar>
            <w:vAlign w:val="top"/>
            <w:shd w:fill="F7F9FB"/>
          </w:tcPr>
          <w:p>
            <w:r>
              <w:rPr>
                <w:rFonts w:ascii="Aptos" w:hAnsi="Aptos"/>
                <w:sz w:val="14"/>
              </w:rPr>
              <w:t>Contracts, delivery, payment references and grant workflow pass UAT</w:t>
            </w:r>
          </w:p>
        </w:tc>
        <w:tc>
          <w:tcPr>
            <w:tcW w:type="dxa" w:w="1728"/>
            <w:tcMar>
              <w:top w:w="55" w:type="dxa"/>
              <w:start w:w="65" w:type="dxa"/>
              <w:bottom w:w="55" w:type="dxa"/>
              <w:end w:w="65" w:type="dxa"/>
            </w:tcMar>
            <w:vAlign w:val="top"/>
            <w:shd w:fill="F7F9FB"/>
          </w:tcPr>
          <w:p>
            <w:r>
              <w:rPr>
                <w:rFonts w:ascii="Aptos" w:hAnsi="Aptos"/>
                <w:sz w:val="14"/>
              </w:rPr>
              <w:t>Month 12</w:t>
            </w:r>
          </w:p>
        </w:tc>
      </w:tr>
      <w:tr>
        <w:trPr>
          <w:cantSplit/>
        </w:trPr>
        <w:tc>
          <w:tcPr>
            <w:tcW w:type="dxa" w:w="4320"/>
            <w:tcMar>
              <w:top w:w="55" w:type="dxa"/>
              <w:start w:w="65" w:type="dxa"/>
              <w:bottom w:w="55" w:type="dxa"/>
              <w:end w:w="65" w:type="dxa"/>
            </w:tcMar>
            <w:vAlign w:val="top"/>
          </w:tcPr>
          <w:p>
            <w:r>
              <w:rPr>
                <w:rFonts w:ascii="Aptos" w:hAnsi="Aptos"/>
                <w:sz w:val="14"/>
              </w:rPr>
              <w:t>Pilot deployment</w:t>
            </w:r>
          </w:p>
        </w:tc>
        <w:tc>
          <w:tcPr>
            <w:tcW w:type="dxa" w:w="4320"/>
            <w:tcMar>
              <w:top w:w="55" w:type="dxa"/>
              <w:start w:w="65" w:type="dxa"/>
              <w:bottom w:w="55" w:type="dxa"/>
              <w:end w:w="65" w:type="dxa"/>
            </w:tcMar>
            <w:vAlign w:val="top"/>
          </w:tcPr>
          <w:p>
            <w:r>
              <w:rPr>
                <w:rFonts w:ascii="Aptos" w:hAnsi="Aptos"/>
                <w:sz w:val="14"/>
              </w:rPr>
              <w:t>Two-county pilot, trained users and resolved critical defects</w:t>
            </w:r>
          </w:p>
        </w:tc>
        <w:tc>
          <w:tcPr>
            <w:tcW w:type="dxa" w:w="1728"/>
            <w:tcMar>
              <w:top w:w="55" w:type="dxa"/>
              <w:start w:w="65" w:type="dxa"/>
              <w:bottom w:w="55" w:type="dxa"/>
              <w:end w:w="65" w:type="dxa"/>
            </w:tcMar>
            <w:vAlign w:val="top"/>
          </w:tcPr>
          <w:p>
            <w:r>
              <w:rPr>
                <w:rFonts w:ascii="Aptos" w:hAnsi="Aptos"/>
                <w:sz w:val="14"/>
              </w:rPr>
              <w:t>Month 15</w:t>
            </w:r>
          </w:p>
        </w:tc>
      </w:tr>
      <w:tr>
        <w:trPr>
          <w:cantSplit/>
        </w:trPr>
        <w:tc>
          <w:tcPr>
            <w:tcW w:type="dxa" w:w="4320"/>
            <w:tcMar>
              <w:top w:w="55" w:type="dxa"/>
              <w:start w:w="65" w:type="dxa"/>
              <w:bottom w:w="55" w:type="dxa"/>
              <w:end w:w="65" w:type="dxa"/>
            </w:tcMar>
            <w:vAlign w:val="top"/>
            <w:shd w:fill="F7F9FB"/>
          </w:tcPr>
          <w:p>
            <w:r>
              <w:rPr>
                <w:rFonts w:ascii="Aptos" w:hAnsi="Aptos"/>
                <w:sz w:val="14"/>
              </w:rPr>
              <w:t>Full deployment</w:t>
            </w:r>
          </w:p>
        </w:tc>
        <w:tc>
          <w:tcPr>
            <w:tcW w:type="dxa" w:w="4320"/>
            <w:tcMar>
              <w:top w:w="55" w:type="dxa"/>
              <w:start w:w="65" w:type="dxa"/>
              <w:bottom w:w="55" w:type="dxa"/>
              <w:end w:w="65" w:type="dxa"/>
            </w:tcMar>
            <w:vAlign w:val="top"/>
            <w:shd w:fill="F7F9FB"/>
          </w:tcPr>
          <w:p>
            <w:r>
              <w:rPr>
                <w:rFonts w:ascii="Aptos" w:hAnsi="Aptos"/>
                <w:sz w:val="14"/>
              </w:rPr>
              <w:t>Production environment, support desk, manuals and dashboards</w:t>
            </w:r>
          </w:p>
        </w:tc>
        <w:tc>
          <w:tcPr>
            <w:tcW w:type="dxa" w:w="1728"/>
            <w:tcMar>
              <w:top w:w="55" w:type="dxa"/>
              <w:start w:w="65" w:type="dxa"/>
              <w:bottom w:w="55" w:type="dxa"/>
              <w:end w:w="65" w:type="dxa"/>
            </w:tcMar>
            <w:vAlign w:val="top"/>
            <w:shd w:fill="F7F9FB"/>
          </w:tcPr>
          <w:p>
            <w:r>
              <w:rPr>
                <w:rFonts w:ascii="Aptos" w:hAnsi="Aptos"/>
                <w:sz w:val="14"/>
              </w:rPr>
              <w:t>Month 18</w:t>
            </w:r>
          </w:p>
        </w:tc>
      </w:tr>
      <w:tr>
        <w:trPr>
          <w:cantSplit/>
        </w:trPr>
        <w:tc>
          <w:tcPr>
            <w:tcW w:type="dxa" w:w="4320"/>
            <w:tcMar>
              <w:top w:w="55" w:type="dxa"/>
              <w:start w:w="65" w:type="dxa"/>
              <w:bottom w:w="55" w:type="dxa"/>
              <w:end w:w="65" w:type="dxa"/>
            </w:tcMar>
            <w:vAlign w:val="top"/>
          </w:tcPr>
          <w:p>
            <w:r>
              <w:rPr>
                <w:rFonts w:ascii="Aptos" w:hAnsi="Aptos"/>
                <w:sz w:val="14"/>
              </w:rPr>
              <w:t>Maintenance and improvements</w:t>
            </w:r>
          </w:p>
        </w:tc>
        <w:tc>
          <w:tcPr>
            <w:tcW w:type="dxa" w:w="4320"/>
            <w:tcMar>
              <w:top w:w="55" w:type="dxa"/>
              <w:start w:w="65" w:type="dxa"/>
              <w:bottom w:w="55" w:type="dxa"/>
              <w:end w:w="65" w:type="dxa"/>
            </w:tcMar>
            <w:vAlign w:val="top"/>
          </w:tcPr>
          <w:p>
            <w:r>
              <w:rPr>
                <w:rFonts w:ascii="Aptos" w:hAnsi="Aptos"/>
                <w:sz w:val="14"/>
              </w:rPr>
              <w:t>SLA reports, patches, backups and quarterly releases</w:t>
            </w:r>
          </w:p>
        </w:tc>
        <w:tc>
          <w:tcPr>
            <w:tcW w:type="dxa" w:w="1728"/>
            <w:tcMar>
              <w:top w:w="55" w:type="dxa"/>
              <w:start w:w="65" w:type="dxa"/>
              <w:bottom w:w="55" w:type="dxa"/>
              <w:end w:w="65" w:type="dxa"/>
            </w:tcMar>
            <w:vAlign w:val="top"/>
          </w:tcPr>
          <w:p>
            <w:r>
              <w:rPr>
                <w:rFonts w:ascii="Aptos" w:hAnsi="Aptos"/>
                <w:sz w:val="14"/>
              </w:rPr>
              <w:t>Months 19–36</w:t>
            </w:r>
          </w:p>
        </w:tc>
      </w:tr>
      <w:tr>
        <w:trPr>
          <w:cantSplit/>
        </w:trPr>
        <w:tc>
          <w:tcPr>
            <w:tcW w:type="dxa" w:w="4320"/>
            <w:tcMar>
              <w:top w:w="55" w:type="dxa"/>
              <w:start w:w="65" w:type="dxa"/>
              <w:bottom w:w="55" w:type="dxa"/>
              <w:end w:w="65" w:type="dxa"/>
            </w:tcMar>
            <w:vAlign w:val="top"/>
            <w:shd w:fill="F7F9FB"/>
          </w:tcPr>
          <w:p>
            <w:r>
              <w:rPr>
                <w:rFonts w:ascii="Aptos" w:hAnsi="Aptos"/>
                <w:sz w:val="14"/>
              </w:rPr>
              <w:t>Exit/handover</w:t>
            </w:r>
          </w:p>
        </w:tc>
        <w:tc>
          <w:tcPr>
            <w:tcW w:type="dxa" w:w="4320"/>
            <w:tcMar>
              <w:top w:w="55" w:type="dxa"/>
              <w:start w:w="65" w:type="dxa"/>
              <w:bottom w:w="55" w:type="dxa"/>
              <w:end w:w="65" w:type="dxa"/>
            </w:tcMar>
            <w:vAlign w:val="top"/>
            <w:shd w:fill="F7F9FB"/>
          </w:tcPr>
          <w:p>
            <w:r>
              <w:rPr>
                <w:rFonts w:ascii="Aptos" w:hAnsi="Aptos"/>
                <w:sz w:val="14"/>
              </w:rPr>
              <w:t>Source/code escrow or agreed ownership package, documentation and admin training</w:t>
            </w:r>
          </w:p>
        </w:tc>
        <w:tc>
          <w:tcPr>
            <w:tcW w:type="dxa" w:w="1728"/>
            <w:tcMar>
              <w:top w:w="55" w:type="dxa"/>
              <w:start w:w="65" w:type="dxa"/>
              <w:bottom w:w="55" w:type="dxa"/>
              <w:end w:w="65" w:type="dxa"/>
            </w:tcMar>
            <w:vAlign w:val="top"/>
            <w:shd w:fill="F7F9FB"/>
          </w:tcPr>
          <w:p>
            <w:r>
              <w:rPr>
                <w:rFonts w:ascii="Aptos" w:hAnsi="Aptos"/>
                <w:sz w:val="14"/>
              </w:rPr>
              <w:t>Month 35</w:t>
            </w:r>
          </w:p>
        </w:tc>
      </w:tr>
      <w:tr>
        <w:trPr>
          <w:cantSplit/>
        </w:trPr>
        <w:tc>
          <w:tcPr>
            <w:tcW w:type="dxa" w:w="3360"/>
            <w:tcMar>
              <w:top w:w="55" w:type="dxa"/>
              <w:start w:w="65" w:type="dxa"/>
              <w:bottom w:w="55" w:type="dxa"/>
              <w:end w:w="65" w:type="dxa"/>
            </w:tcMar>
          </w:tcPr>
          <w:p>
            <w:r>
              <w:rPr>
                <w:rFonts w:ascii="Aptos" w:hAnsi="Aptos"/>
                <w:sz w:val="14"/>
              </w:rPr>
              <w:t>Permissioned blockchain and trust-layer design</w:t>
            </w:r>
          </w:p>
        </w:tc>
        <w:tc>
          <w:tcPr>
            <w:tcW w:type="dxa" w:w="3360"/>
            <w:tcMar>
              <w:top w:w="55" w:type="dxa"/>
              <w:start w:w="65" w:type="dxa"/>
              <w:bottom w:w="55" w:type="dxa"/>
              <w:end w:w="65" w:type="dxa"/>
            </w:tcMar>
          </w:tcPr>
          <w:p>
            <w:r>
              <w:rPr>
                <w:rFonts w:ascii="Aptos" w:hAnsi="Aptos"/>
                <w:sz w:val="14"/>
              </w:rPr>
              <w:t>Membership, nodes, channels/private collections, endorsement, smart contracts, credential lifecycle, key custody, off-chain/on-chain data classification and dispute/correction design.</w:t>
            </w:r>
          </w:p>
        </w:tc>
        <w:tc>
          <w:tcPr>
            <w:tcW w:type="dxa" w:w="3360"/>
            <w:tcMar>
              <w:top w:w="55" w:type="dxa"/>
              <w:start w:w="65" w:type="dxa"/>
              <w:bottom w:w="55" w:type="dxa"/>
              <w:end w:w="65" w:type="dxa"/>
            </w:tcMar>
          </w:tcPr>
          <w:p>
            <w:r>
              <w:rPr>
                <w:rFonts w:ascii="Aptos" w:hAnsi="Aptos"/>
                <w:sz w:val="14"/>
              </w:rPr>
              <w:t>Approved architecture and governance pack.</w:t>
            </w:r>
          </w:p>
        </w:tc>
      </w:tr>
      <w:tr>
        <w:trPr>
          <w:cantSplit/>
        </w:trPr>
        <w:tc>
          <w:tcPr>
            <w:tcW w:type="dxa" w:w="3360"/>
            <w:tcMar>
              <w:top w:w="55" w:type="dxa"/>
              <w:start w:w="65" w:type="dxa"/>
              <w:bottom w:w="55" w:type="dxa"/>
              <w:end w:w="65" w:type="dxa"/>
            </w:tcMar>
            <w:shd w:fill="F7F9FB"/>
          </w:tcPr>
          <w:p>
            <w:r>
              <w:rPr>
                <w:rFonts w:ascii="Aptos" w:hAnsi="Aptos"/>
                <w:sz w:val="14"/>
              </w:rPr>
              <w:t>Blockchain proof of concept and production deployment</w:t>
            </w:r>
          </w:p>
        </w:tc>
        <w:tc>
          <w:tcPr>
            <w:tcW w:type="dxa" w:w="3360"/>
            <w:tcMar>
              <w:top w:w="55" w:type="dxa"/>
              <w:start w:w="65" w:type="dxa"/>
              <w:bottom w:w="55" w:type="dxa"/>
              <w:end w:w="65" w:type="dxa"/>
            </w:tcMar>
            <w:shd w:fill="F7F9FB"/>
          </w:tcPr>
          <w:p>
            <w:r>
              <w:rPr>
                <w:rFonts w:ascii="Aptos" w:hAnsi="Aptos"/>
                <w:sz w:val="14"/>
              </w:rPr>
              <w:t>Pilot farm/lot, fashion batch/DPP and Crostar feedstock events; performance, privacy, security and recovery tests; production rollout after gate approval.</w:t>
            </w:r>
          </w:p>
        </w:tc>
        <w:tc>
          <w:tcPr>
            <w:tcW w:type="dxa" w:w="3360"/>
            <w:tcMar>
              <w:top w:w="55" w:type="dxa"/>
              <w:start w:w="65" w:type="dxa"/>
              <w:bottom w:w="55" w:type="dxa"/>
              <w:end w:w="65" w:type="dxa"/>
            </w:tcMar>
            <w:shd w:fill="F7F9FB"/>
          </w:tcPr>
          <w:p>
            <w:r>
              <w:rPr>
                <w:rFonts w:ascii="Aptos" w:hAnsi="Aptos"/>
                <w:sz w:val="14"/>
              </w:rPr>
              <w:t>Accepted pilot and production network with test evidence.</w:t>
            </w:r>
          </w:p>
        </w:tc>
      </w:tr>
    </w:tbl>
    <w:p>
      <w:pPr>
        <w:spacing w:after="0"/>
      </w:pPr>
    </w:p>
    <w:p>
      <w:pPr>
        <w:pStyle w:val="Heading1"/>
        <w:keepNext/>
      </w:pPr>
      <w:r>
        <w:t>Annex 5. Source Documents Used in Proposal Development</w:t>
      </w:r>
    </w:p>
    <w:p>
      <w:r>
        <w:t>This updated proposal also draws on the July 2026 harmonised Labl Group East Africa, Labl Fashion, Labl Farms and Crostar Energy strategic and business plans, together with official Hyperledger Fabric, GS1 EPCIS, EU Digital Product Passport and EBSI materials.</w:t>
      </w:r>
    </w:p>
    <w:p>
      <w:pPr>
        <w:pStyle w:val="ListBullet"/>
      </w:pPr>
      <w:r>
        <w:t>AfriEuro Links Export Accelerator Concept Note, final version without KenInvest, including additionality, systemic approach, source notes and organisation-role annexes.</w:t>
      </w:r>
    </w:p>
    <w:p>
      <w:pPr>
        <w:pStyle w:val="ListBullet"/>
      </w:pPr>
      <w:r>
        <w:t>Labl Group East Africa Strategic Plan.</w:t>
      </w:r>
    </w:p>
    <w:p>
      <w:pPr>
        <w:pStyle w:val="ListBullet"/>
      </w:pPr>
      <w:r>
        <w:t>Crostar Energy Business Plan.</w:t>
      </w:r>
    </w:p>
    <w:p>
      <w:pPr>
        <w:pStyle w:val="ListBullet"/>
      </w:pPr>
      <w:r>
        <w:t>Call for Concept Notes: Private Sector Development and Business Climate Enhancement in Kenya.</w:t>
      </w:r>
    </w:p>
    <w:p>
      <w:pPr>
        <w:pStyle w:val="ListBullet"/>
      </w:pPr>
      <w:r>
        <w:t>Consortium instructions and clarifications provided by the applicant.</w:t>
      </w:r>
    </w:p>
    <w:p>
      <w:pPr>
        <w:sectPr>
          <w:headerReference w:type="default" r:id="rId9"/>
          <w:footerReference w:type="default" r:id="rId10"/>
          <w:pgSz w:w="12240" w:h="15840"/>
          <w:pgMar w:top="1008" w:right="1080" w:bottom="936" w:left="1080" w:header="720" w:footer="720" w:gutter="0"/>
          <w:cols w:space="720"/>
          <w:docGrid w:linePitch="360"/>
        </w:sectPr>
      </w:pPr>
    </w:p>
    <w:p>
      <w:pPr>
        <w:pStyle w:val="Heading1"/>
      </w:pPr>
      <w:r>
        <w:t>Annex 5A. Blockchain Governance and Stage-Gate Checklist</w:t>
      </w:r>
    </w:p>
    <w:tbl>
      <w:tblPr>
        <w:tblStyle w:val="TableGrid"/>
        <w:tblW w:type="auto" w:w="0"/>
        <w:jc w:val="center"/>
        <w:tblLook w:firstColumn="1" w:firstRow="1" w:lastColumn="0" w:lastRow="0" w:noHBand="0" w:noVBand="1" w:val="04A0"/>
      </w:tblPr>
      <w:tblGrid>
        <w:gridCol w:w="7697"/>
        <w:gridCol w:w="7697"/>
      </w:tblGrid>
      <w:tr>
        <w:trPr>
          <w:tblHeader w:val="true"/>
        </w:trPr>
        <w:tc>
          <w:tcPr>
            <w:tcW w:type="dxa" w:w="7697"/>
            <w:vAlign w:val="center"/>
            <w:tcMar>
              <w:top w:w="55" w:type="dxa"/>
              <w:start w:w="65" w:type="dxa"/>
              <w:bottom w:w="55" w:type="dxa"/>
              <w:end w:w="65" w:type="dxa"/>
            </w:tcMar>
            <w:shd w:fill="2E8B57"/>
          </w:tcPr>
          <w:p>
            <w:pPr>
              <w:spacing w:before="0" w:after="0"/>
              <w:jc w:val="center"/>
            </w:pPr>
            <w:r>
              <w:rPr>
                <w:rFonts w:ascii="Aptos" w:hAnsi="Aptos"/>
                <w:b/>
                <w:color w:val="FFFFFF"/>
                <w:sz w:val="14"/>
              </w:rPr>
            </w:r>
            <w:r>
              <w:rPr>
                <w:rFonts w:ascii="Aptos" w:hAnsi="Aptos"/>
                <w:b/>
                <w:color w:val="FFFFFF"/>
                <w:sz w:val="14"/>
              </w:rPr>
              <w:t>Gate</w:t>
            </w:r>
          </w:p>
        </w:tc>
        <w:tc>
          <w:tcPr>
            <w:tcW w:type="dxa" w:w="7697"/>
            <w:vAlign w:val="center"/>
            <w:tcMar>
              <w:top w:w="55" w:type="dxa"/>
              <w:start w:w="65" w:type="dxa"/>
              <w:bottom w:w="55" w:type="dxa"/>
              <w:end w:w="65" w:type="dxa"/>
            </w:tcMar>
            <w:shd w:fill="2E8B57"/>
          </w:tcPr>
          <w:p>
            <w:pPr>
              <w:spacing w:before="0" w:after="0"/>
              <w:jc w:val="center"/>
            </w:pPr>
            <w:r>
              <w:rPr>
                <w:rFonts w:ascii="Aptos" w:hAnsi="Aptos"/>
                <w:b/>
                <w:color w:val="FFFFFF"/>
                <w:sz w:val="14"/>
              </w:rPr>
            </w:r>
            <w:r>
              <w:rPr>
                <w:rFonts w:ascii="Aptos" w:hAnsi="Aptos"/>
                <w:b/>
                <w:color w:val="FFFFFF"/>
                <w:sz w:val="14"/>
              </w:rPr>
              <w:t>Minimum evidence before approval</w:t>
            </w:r>
          </w:p>
        </w:tc>
      </w:tr>
      <w:tr>
        <w:trPr>
          <w:cantSplit/>
        </w:trPr>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Business-case gate</w:t>
            </w:r>
          </w:p>
        </w:tc>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Multiple-party trust problem, expected assurance value, transaction volume, cost comparison with conventional alternatives and named owners.</w:t>
            </w:r>
          </w:p>
        </w:tc>
      </w:tr>
      <w:tr>
        <w:trPr>
          <w:cantSplit/>
        </w:trPr>
        <w:tc>
          <w:tcPr>
            <w:tcW w:type="dxa" w:w="7697"/>
            <w:vAlign w:val="center"/>
            <w:tcMar>
              <w:top w:w="55" w:type="dxa"/>
              <w:start w:w="65" w:type="dxa"/>
              <w:bottom w:w="55" w:type="dxa"/>
              <w:end w:w="65" w:type="dxa"/>
            </w:tcMar>
            <w:shd w:fill="F7F9FB"/>
          </w:tcPr>
          <w:p>
            <w:pPr>
              <w:spacing w:before="0" w:after="0"/>
              <w:jc w:val="left"/>
            </w:pPr>
            <w:r>
              <w:rPr>
                <w:rFonts w:ascii="Aptos" w:hAnsi="Aptos"/>
                <w:sz w:val="14"/>
              </w:rPr>
            </w:r>
            <w:r>
              <w:rPr>
                <w:rFonts w:ascii="Aptos" w:hAnsi="Aptos"/>
                <w:b w:val="0"/>
                <w:sz w:val="14"/>
              </w:rPr>
              <w:t>Architecture gate</w:t>
            </w:r>
          </w:p>
        </w:tc>
        <w:tc>
          <w:tcPr>
            <w:tcW w:type="dxa" w:w="7697"/>
            <w:vAlign w:val="center"/>
            <w:tcMar>
              <w:top w:w="55" w:type="dxa"/>
              <w:start w:w="65" w:type="dxa"/>
              <w:bottom w:w="55" w:type="dxa"/>
              <w:end w:w="65" w:type="dxa"/>
            </w:tcMar>
            <w:shd w:fill="F7F9FB"/>
          </w:tcPr>
          <w:p>
            <w:pPr>
              <w:spacing w:before="0" w:after="0"/>
              <w:jc w:val="left"/>
            </w:pPr>
            <w:r>
              <w:rPr>
                <w:rFonts w:ascii="Aptos" w:hAnsi="Aptos"/>
                <w:sz w:val="14"/>
              </w:rPr>
            </w:r>
            <w:r>
              <w:rPr>
                <w:rFonts w:ascii="Aptos" w:hAnsi="Aptos"/>
                <w:b w:val="0"/>
                <w:sz w:val="14"/>
              </w:rPr>
              <w:t>Off-chain/on-chain classification, standards model, privacy, node and channel design, endorsement, APIs, resilience and exit.</w:t>
            </w:r>
          </w:p>
        </w:tc>
      </w:tr>
      <w:tr>
        <w:trPr>
          <w:cantSplit/>
        </w:trPr>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Legal and governance gate</w:t>
            </w:r>
          </w:p>
        </w:tc>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Consortium agreement, node/member rules, key custody, smart-contract legal treatment, data roles, disputes and regulator review where required.</w:t>
            </w:r>
          </w:p>
        </w:tc>
      </w:tr>
      <w:tr>
        <w:trPr>
          <w:cantSplit/>
        </w:trPr>
        <w:tc>
          <w:tcPr>
            <w:tcW w:type="dxa" w:w="7697"/>
            <w:vAlign w:val="center"/>
            <w:tcMar>
              <w:top w:w="55" w:type="dxa"/>
              <w:start w:w="65" w:type="dxa"/>
              <w:bottom w:w="55" w:type="dxa"/>
              <w:end w:w="65" w:type="dxa"/>
            </w:tcMar>
            <w:shd w:fill="F7F9FB"/>
          </w:tcPr>
          <w:p>
            <w:pPr>
              <w:spacing w:before="0" w:after="0"/>
              <w:jc w:val="left"/>
            </w:pPr>
            <w:r>
              <w:rPr>
                <w:rFonts w:ascii="Aptos" w:hAnsi="Aptos"/>
                <w:sz w:val="14"/>
              </w:rPr>
            </w:r>
            <w:r>
              <w:rPr>
                <w:rFonts w:ascii="Aptos" w:hAnsi="Aptos"/>
                <w:b w:val="0"/>
                <w:sz w:val="14"/>
              </w:rPr>
              <w:t>Pilot gate</w:t>
            </w:r>
          </w:p>
        </w:tc>
        <w:tc>
          <w:tcPr>
            <w:tcW w:type="dxa" w:w="7697"/>
            <w:vAlign w:val="center"/>
            <w:tcMar>
              <w:top w:w="55" w:type="dxa"/>
              <w:start w:w="65" w:type="dxa"/>
              <w:bottom w:w="55" w:type="dxa"/>
              <w:end w:w="65" w:type="dxa"/>
            </w:tcMar>
            <w:shd w:fill="F7F9FB"/>
          </w:tcPr>
          <w:p>
            <w:pPr>
              <w:spacing w:before="0" w:after="0"/>
              <w:jc w:val="left"/>
            </w:pPr>
            <w:r>
              <w:rPr>
                <w:rFonts w:ascii="Aptos" w:hAnsi="Aptos"/>
                <w:sz w:val="14"/>
              </w:rPr>
            </w:r>
            <w:r>
              <w:rPr>
                <w:rFonts w:ascii="Aptos" w:hAnsi="Aptos"/>
                <w:b w:val="0"/>
                <w:sz w:val="14"/>
              </w:rPr>
              <w:t>Defined cotton/fashion and feedstock use cases, test data, users, success criteria, failure handling and no production claims.</w:t>
            </w:r>
          </w:p>
        </w:tc>
      </w:tr>
      <w:tr>
        <w:trPr>
          <w:cantSplit/>
        </w:trPr>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Production gate</w:t>
            </w:r>
          </w:p>
        </w:tc>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Security/code/configuration audit, UAT, performance, backup/recovery, key rotation, monitoring, help desk and accepted operating manuals.</w:t>
            </w:r>
          </w:p>
        </w:tc>
      </w:tr>
      <w:tr>
        <w:trPr>
          <w:cantSplit/>
        </w:trPr>
        <w:tc>
          <w:tcPr>
            <w:tcW w:type="dxa" w:w="7697"/>
            <w:vAlign w:val="center"/>
            <w:tcMar>
              <w:top w:w="55" w:type="dxa"/>
              <w:start w:w="65" w:type="dxa"/>
              <w:bottom w:w="55" w:type="dxa"/>
              <w:end w:w="65" w:type="dxa"/>
            </w:tcMar>
            <w:shd w:fill="F7F9FB"/>
          </w:tcPr>
          <w:p>
            <w:pPr>
              <w:spacing w:before="0" w:after="0"/>
              <w:jc w:val="left"/>
            </w:pPr>
            <w:r>
              <w:rPr>
                <w:rFonts w:ascii="Aptos" w:hAnsi="Aptos"/>
                <w:sz w:val="14"/>
              </w:rPr>
            </w:r>
            <w:r>
              <w:rPr>
                <w:rFonts w:ascii="Aptos" w:hAnsi="Aptos"/>
                <w:b w:val="0"/>
                <w:sz w:val="14"/>
              </w:rPr>
              <w:t>Scale gate</w:t>
            </w:r>
          </w:p>
        </w:tc>
        <w:tc>
          <w:tcPr>
            <w:tcW w:type="dxa" w:w="7697"/>
            <w:vAlign w:val="center"/>
            <w:tcMar>
              <w:top w:w="55" w:type="dxa"/>
              <w:start w:w="65" w:type="dxa"/>
              <w:bottom w:w="55" w:type="dxa"/>
              <w:end w:w="65" w:type="dxa"/>
            </w:tcMar>
            <w:shd w:fill="F7F9FB"/>
          </w:tcPr>
          <w:p>
            <w:pPr>
              <w:spacing w:before="0" w:after="0"/>
              <w:jc w:val="left"/>
            </w:pPr>
            <w:r>
              <w:rPr>
                <w:rFonts w:ascii="Aptos" w:hAnsi="Aptos"/>
                <w:sz w:val="14"/>
              </w:rPr>
            </w:r>
            <w:r>
              <w:rPr>
                <w:rFonts w:ascii="Aptos" w:hAnsi="Aptos"/>
                <w:b w:val="0"/>
                <w:sz w:val="14"/>
              </w:rPr>
              <w:t>Measured operational benefit, acceptable cost, low unresolved incident rate, partner funding and independent assurance.</w:t>
            </w:r>
          </w:p>
        </w:tc>
      </w:tr>
      <w:tr>
        <w:trPr>
          <w:cantSplit/>
        </w:trPr>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Exit/replication gate</w:t>
            </w:r>
          </w:p>
        </w:tc>
        <w:tc>
          <w:tcPr>
            <w:tcW w:type="dxa" w:w="7697"/>
            <w:vAlign w:val="center"/>
            <w:tcMar>
              <w:top w:w="55" w:type="dxa"/>
              <w:start w:w="65" w:type="dxa"/>
              <w:bottom w:w="55" w:type="dxa"/>
              <w:end w:w="65" w:type="dxa"/>
            </w:tcMar>
          </w:tcPr>
          <w:p>
            <w:pPr>
              <w:spacing w:before="0" w:after="0"/>
              <w:jc w:val="left"/>
            </w:pPr>
            <w:r>
              <w:rPr>
                <w:rFonts w:ascii="Aptos" w:hAnsi="Aptos"/>
                <w:sz w:val="14"/>
              </w:rPr>
            </w:r>
            <w:r>
              <w:rPr>
                <w:rFonts w:ascii="Aptos" w:hAnsi="Aptos"/>
                <w:b w:val="0"/>
                <w:sz w:val="14"/>
              </w:rPr>
              <w:t>Data export, credential portability, node/key transfer, contract end, archival and controlled member offboarding.</w:t>
            </w:r>
          </w:p>
        </w:tc>
      </w:tr>
    </w:tbl>
    <w:p>
      <w:pPr>
        <w:pStyle w:val="Heading1"/>
      </w:pPr>
      <w:r>
        <w:t>Annex 6. Comprehensive Itemised Budget</w:t>
      </w:r>
    </w:p>
    <w:p>
      <w:r>
        <w:rPr>
          <w:b/>
        </w:rPr>
        <w:t xml:space="preserve">Budget basis. </w:t>
      </w:r>
      <w:r>
        <w:t>The requested grant is KES 138,000,000 for 36 months. The budget is prepared in Kenyan shillings and separates direct programme costs from indirect coordination and overhead. Unit costs are indicative ceilings for proposal appraisal and will be refined through donor-approved work planning, quotations, competitive procurement and contract negotiation. For-profit consortium members and service providers will charge non-commercial rates for grant-funded activities.</w:t>
      </w:r>
    </w:p>
    <w:p>
      <w:r>
        <w:rPr>
          <w:b/>
        </w:rPr>
        <w:t xml:space="preserve">Cost eligibility and controls. </w:t>
      </w:r>
      <w:r>
        <w:t>The budget does not finance land acquisition, unrestricted cash transfers, political activity, routine commodity purchases, profit distributions or unapproved biodiesel production. Recoverable taxes will not be charged to the grant. Capital assets, community grants, travel, consultancies and named technical service providers will be governed by the grant agreement, approved procurement plan, asset controls, segregation of duties and documented value-for-money assessment.</w:t>
      </w:r>
    </w:p>
    <w:p>
      <w:pPr>
        <w:pStyle w:val="Heading2"/>
      </w:pPr>
      <w:r>
        <w:t>Annex 6A. Budget Summary by Component and Year</w:t>
      </w:r>
    </w:p>
    <w:tbl>
      <w:tblPr>
        <w:tblStyle w:val="TableGrid"/>
        <w:tblW w:type="auto" w:w="0"/>
        <w:jc w:val="center"/>
        <w:tblLayout w:type="fixed"/>
        <w:tblLook w:firstColumn="1" w:firstRow="1" w:lastColumn="0" w:lastRow="0" w:noHBand="0" w:noVBand="1" w:val="04A0"/>
      </w:tblPr>
      <w:tblGrid>
        <w:gridCol w:w="2078"/>
        <w:gridCol w:w="2078"/>
        <w:gridCol w:w="2078"/>
        <w:gridCol w:w="2078"/>
        <w:gridCol w:w="2078"/>
        <w:gridCol w:w="2078"/>
        <w:gridCol w:w="2078"/>
      </w:tblGrid>
      <w:tr>
        <w:trPr>
          <w:tblHeader w:val="true"/>
          <w:tblHeader w:val="true"/>
        </w:trPr>
        <w:tc>
          <w:tcPr>
            <w:tcW w:type="dxa" w:w="502920"/>
            <w:vAlign w:val="center"/>
            <w:tcMar>
              <w:top w:w="55" w:type="dxa"/>
              <w:start w:w="65" w:type="dxa"/>
              <w:bottom w:w="55" w:type="dxa"/>
              <w:end w:w="65" w:type="dxa"/>
            </w:tcMar>
            <w:shd w:fill="17375E"/>
          </w:tcPr>
          <w:p>
            <w:r>
              <w:rPr>
                <w:rFonts w:ascii="Aptos" w:hAnsi="Aptos"/>
                <w:b/>
                <w:color w:val="FFFFFF"/>
                <w:sz w:val="15"/>
              </w:rPr>
              <w:t>Code</w:t>
            </w:r>
          </w:p>
        </w:tc>
        <w:tc>
          <w:tcPr>
            <w:tcW w:type="dxa" w:w="3520440"/>
            <w:vAlign w:val="center"/>
            <w:tcMar>
              <w:top w:w="55" w:type="dxa"/>
              <w:start w:w="65" w:type="dxa"/>
              <w:bottom w:w="55" w:type="dxa"/>
              <w:end w:w="65" w:type="dxa"/>
            </w:tcMar>
            <w:shd w:fill="17375E"/>
          </w:tcPr>
          <w:p>
            <w:r>
              <w:rPr>
                <w:rFonts w:ascii="Aptos" w:hAnsi="Aptos"/>
                <w:b/>
                <w:color w:val="FFFFFF"/>
                <w:sz w:val="15"/>
              </w:rPr>
              <w:t>Budget component</w:t>
            </w:r>
          </w:p>
        </w:tc>
        <w:tc>
          <w:tcPr>
            <w:tcW w:type="dxa" w:w="868680"/>
            <w:vAlign w:val="center"/>
            <w:tcMar>
              <w:top w:w="55" w:type="dxa"/>
              <w:start w:w="65" w:type="dxa"/>
              <w:bottom w:w="55" w:type="dxa"/>
              <w:end w:w="65" w:type="dxa"/>
            </w:tcMar>
            <w:shd w:fill="17375E"/>
          </w:tcPr>
          <w:p>
            <w:r>
              <w:rPr>
                <w:rFonts w:ascii="Aptos" w:hAnsi="Aptos"/>
                <w:b/>
                <w:color w:val="FFFFFF"/>
                <w:sz w:val="15"/>
              </w:rPr>
              <w:t>Year 1</w:t>
            </w:r>
          </w:p>
        </w:tc>
        <w:tc>
          <w:tcPr>
            <w:tcW w:type="dxa" w:w="868680"/>
            <w:vAlign w:val="center"/>
            <w:tcMar>
              <w:top w:w="55" w:type="dxa"/>
              <w:start w:w="65" w:type="dxa"/>
              <w:bottom w:w="55" w:type="dxa"/>
              <w:end w:w="65" w:type="dxa"/>
            </w:tcMar>
            <w:shd w:fill="17375E"/>
          </w:tcPr>
          <w:p>
            <w:r>
              <w:rPr>
                <w:rFonts w:ascii="Aptos" w:hAnsi="Aptos"/>
                <w:b/>
                <w:color w:val="FFFFFF"/>
                <w:sz w:val="15"/>
              </w:rPr>
              <w:t>Year 2</w:t>
            </w:r>
          </w:p>
        </w:tc>
        <w:tc>
          <w:tcPr>
            <w:tcW w:type="dxa" w:w="868680"/>
            <w:vAlign w:val="center"/>
            <w:tcMar>
              <w:top w:w="55" w:type="dxa"/>
              <w:start w:w="65" w:type="dxa"/>
              <w:bottom w:w="55" w:type="dxa"/>
              <w:end w:w="65" w:type="dxa"/>
            </w:tcMar>
            <w:shd w:fill="17375E"/>
          </w:tcPr>
          <w:p>
            <w:r>
              <w:rPr>
                <w:rFonts w:ascii="Aptos" w:hAnsi="Aptos"/>
                <w:b/>
                <w:color w:val="FFFFFF"/>
                <w:sz w:val="15"/>
              </w:rPr>
              <w:t>Year 3</w:t>
            </w:r>
          </w:p>
        </w:tc>
        <w:tc>
          <w:tcPr>
            <w:tcW w:type="dxa" w:w="960120"/>
            <w:vAlign w:val="center"/>
            <w:tcMar>
              <w:top w:w="55" w:type="dxa"/>
              <w:start w:w="65" w:type="dxa"/>
              <w:bottom w:w="55" w:type="dxa"/>
              <w:end w:w="65" w:type="dxa"/>
            </w:tcMar>
            <w:shd w:fill="17375E"/>
          </w:tcPr>
          <w:p>
            <w:r>
              <w:rPr>
                <w:rFonts w:ascii="Aptos" w:hAnsi="Aptos"/>
                <w:b/>
                <w:color w:val="FFFFFF"/>
                <w:sz w:val="15"/>
              </w:rPr>
              <w:t>Total KES</w:t>
            </w:r>
          </w:p>
        </w:tc>
        <w:tc>
          <w:tcPr>
            <w:tcW w:type="dxa" w:w="640080"/>
            <w:vAlign w:val="center"/>
            <w:tcMar>
              <w:top w:w="55" w:type="dxa"/>
              <w:start w:w="65" w:type="dxa"/>
              <w:bottom w:w="55" w:type="dxa"/>
              <w:end w:w="65" w:type="dxa"/>
            </w:tcMar>
            <w:shd w:fill="17375E"/>
          </w:tcPr>
          <w:p>
            <w:r>
              <w:rPr>
                <w:rFonts w:ascii="Aptos" w:hAnsi="Aptos"/>
                <w:b/>
                <w:color w:val="FFFFFF"/>
                <w:sz w:val="15"/>
              </w:rPr>
              <w:t>%</w:t>
            </w:r>
          </w:p>
        </w:tc>
      </w:tr>
      <w:tr>
        <w:trPr>
          <w:cantSplit/>
          <w:cantSplit/>
        </w:trPr>
        <w:tc>
          <w:tcPr>
            <w:tcW w:type="dxa" w:w="502920"/>
            <w:vAlign w:val="center"/>
            <w:tcMar>
              <w:top w:w="55" w:type="dxa"/>
              <w:start w:w="65" w:type="dxa"/>
              <w:bottom w:w="55" w:type="dxa"/>
              <w:end w:w="65" w:type="dxa"/>
            </w:tcMar>
          </w:tcPr>
          <w:p>
            <w:r>
              <w:rPr>
                <w:rFonts w:ascii="Aptos" w:hAnsi="Aptos"/>
                <w:sz w:val="15"/>
              </w:rPr>
              <w:t>1</w:t>
            </w:r>
          </w:p>
        </w:tc>
        <w:tc>
          <w:tcPr>
            <w:tcW w:type="dxa" w:w="3520440"/>
            <w:vAlign w:val="center"/>
            <w:tcMar>
              <w:top w:w="55" w:type="dxa"/>
              <w:start w:w="65" w:type="dxa"/>
              <w:bottom w:w="55" w:type="dxa"/>
              <w:end w:w="65" w:type="dxa"/>
            </w:tcMar>
          </w:tcPr>
          <w:p>
            <w:r>
              <w:rPr>
                <w:rFonts w:ascii="Aptos" w:hAnsi="Aptos"/>
                <w:sz w:val="15"/>
              </w:rPr>
              <w:t>Inception, baseline, market validation and regulatory planning</w:t>
            </w:r>
          </w:p>
        </w:tc>
        <w:tc>
          <w:tcPr>
            <w:tcW w:type="dxa" w:w="868680"/>
            <w:vAlign w:val="center"/>
            <w:tcMar>
              <w:top w:w="55" w:type="dxa"/>
              <w:start w:w="65" w:type="dxa"/>
              <w:bottom w:w="55" w:type="dxa"/>
              <w:end w:w="65" w:type="dxa"/>
            </w:tcMar>
          </w:tcPr>
          <w:p>
            <w:r>
              <w:rPr>
                <w:rFonts w:ascii="Aptos" w:hAnsi="Aptos"/>
                <w:sz w:val="15"/>
              </w:rPr>
              <w:t>8,000,000</w:t>
            </w:r>
          </w:p>
        </w:tc>
        <w:tc>
          <w:tcPr>
            <w:tcW w:type="dxa" w:w="868680"/>
            <w:vAlign w:val="center"/>
            <w:tcMar>
              <w:top w:w="55" w:type="dxa"/>
              <w:start w:w="65" w:type="dxa"/>
              <w:bottom w:w="55" w:type="dxa"/>
              <w:end w:w="65" w:type="dxa"/>
            </w:tcMar>
          </w:tcPr>
          <w:p>
            <w:r>
              <w:rPr>
                <w:rFonts w:ascii="Aptos" w:hAnsi="Aptos"/>
                <w:sz w:val="15"/>
              </w:rPr>
              <w:t>0</w:t>
            </w:r>
          </w:p>
        </w:tc>
        <w:tc>
          <w:tcPr>
            <w:tcW w:type="dxa" w:w="868680"/>
            <w:vAlign w:val="center"/>
            <w:tcMar>
              <w:top w:w="55" w:type="dxa"/>
              <w:start w:w="65" w:type="dxa"/>
              <w:bottom w:w="55" w:type="dxa"/>
              <w:end w:w="65" w:type="dxa"/>
            </w:tcMar>
          </w:tcPr>
          <w:p>
            <w:r>
              <w:rPr>
                <w:rFonts w:ascii="Aptos" w:hAnsi="Aptos"/>
                <w:sz w:val="15"/>
              </w:rPr>
              <w:t>0</w:t>
            </w:r>
          </w:p>
        </w:tc>
        <w:tc>
          <w:tcPr>
            <w:tcW w:type="dxa" w:w="960120"/>
            <w:vAlign w:val="center"/>
            <w:tcMar>
              <w:top w:w="55" w:type="dxa"/>
              <w:start w:w="65" w:type="dxa"/>
              <w:bottom w:w="55" w:type="dxa"/>
              <w:end w:w="65" w:type="dxa"/>
            </w:tcMar>
          </w:tcPr>
          <w:p>
            <w:r>
              <w:rPr>
                <w:rFonts w:ascii="Aptos" w:hAnsi="Aptos"/>
                <w:sz w:val="15"/>
              </w:rPr>
              <w:t>8,000,000</w:t>
            </w:r>
          </w:p>
        </w:tc>
        <w:tc>
          <w:tcPr>
            <w:tcW w:type="dxa" w:w="640080"/>
            <w:vAlign w:val="center"/>
            <w:tcMar>
              <w:top w:w="55" w:type="dxa"/>
              <w:start w:w="65" w:type="dxa"/>
              <w:bottom w:w="55" w:type="dxa"/>
              <w:end w:w="65" w:type="dxa"/>
            </w:tcMar>
          </w:tcPr>
          <w:p>
            <w:r>
              <w:rPr>
                <w:rFonts w:ascii="Aptos" w:hAnsi="Aptos"/>
                <w:sz w:val="15"/>
              </w:rPr>
              <w:t>5.8%</w:t>
            </w:r>
          </w:p>
        </w:tc>
      </w:tr>
      <w:tr>
        <w:trPr>
          <w:cantSplit/>
          <w:cantSplit/>
        </w:trPr>
        <w:tc>
          <w:tcPr>
            <w:tcW w:type="dxa" w:w="502920"/>
            <w:vAlign w:val="center"/>
            <w:tcMar>
              <w:top w:w="55" w:type="dxa"/>
              <w:start w:w="65" w:type="dxa"/>
              <w:bottom w:w="55" w:type="dxa"/>
              <w:end w:w="65" w:type="dxa"/>
            </w:tcMar>
            <w:shd w:fill="F7F9FB"/>
          </w:tcPr>
          <w:p>
            <w:r>
              <w:rPr>
                <w:rFonts w:ascii="Aptos" w:hAnsi="Aptos"/>
                <w:sz w:val="15"/>
              </w:rPr>
              <w:t>2</w:t>
            </w:r>
          </w:p>
        </w:tc>
        <w:tc>
          <w:tcPr>
            <w:tcW w:type="dxa" w:w="3520440"/>
            <w:vAlign w:val="center"/>
            <w:tcMar>
              <w:top w:w="55" w:type="dxa"/>
              <w:start w:w="65" w:type="dxa"/>
              <w:bottom w:w="55" w:type="dxa"/>
              <w:end w:w="65" w:type="dxa"/>
            </w:tcMar>
            <w:shd w:fill="F7F9FB"/>
          </w:tcPr>
          <w:p>
            <w:r>
              <w:rPr>
                <w:rFonts w:ascii="Aptos" w:hAnsi="Aptos"/>
                <w:sz w:val="15"/>
              </w:rPr>
              <w:t>Community mobilisation, registration and cluster governance</w:t>
            </w:r>
          </w:p>
        </w:tc>
        <w:tc>
          <w:tcPr>
            <w:tcW w:type="dxa" w:w="868680"/>
            <w:vAlign w:val="center"/>
            <w:tcMar>
              <w:top w:w="55" w:type="dxa"/>
              <w:start w:w="65" w:type="dxa"/>
              <w:bottom w:w="55" w:type="dxa"/>
              <w:end w:w="65" w:type="dxa"/>
            </w:tcMar>
            <w:shd w:fill="F7F9FB"/>
          </w:tcPr>
          <w:p>
            <w:r>
              <w:rPr>
                <w:rFonts w:ascii="Aptos" w:hAnsi="Aptos"/>
                <w:sz w:val="15"/>
              </w:rPr>
              <w:t>7,500,000</w:t>
            </w:r>
          </w:p>
        </w:tc>
        <w:tc>
          <w:tcPr>
            <w:tcW w:type="dxa" w:w="868680"/>
            <w:vAlign w:val="center"/>
            <w:tcMar>
              <w:top w:w="55" w:type="dxa"/>
              <w:start w:w="65" w:type="dxa"/>
              <w:bottom w:w="55" w:type="dxa"/>
              <w:end w:w="65" w:type="dxa"/>
            </w:tcMar>
            <w:shd w:fill="F7F9FB"/>
          </w:tcPr>
          <w:p>
            <w:r>
              <w:rPr>
                <w:rFonts w:ascii="Aptos" w:hAnsi="Aptos"/>
                <w:sz w:val="15"/>
              </w:rPr>
              <w:t>6,500,000</w:t>
            </w:r>
          </w:p>
        </w:tc>
        <w:tc>
          <w:tcPr>
            <w:tcW w:type="dxa" w:w="868680"/>
            <w:vAlign w:val="center"/>
            <w:tcMar>
              <w:top w:w="55" w:type="dxa"/>
              <w:start w:w="65" w:type="dxa"/>
              <w:bottom w:w="55" w:type="dxa"/>
              <w:end w:w="65" w:type="dxa"/>
            </w:tcMar>
            <w:shd w:fill="F7F9FB"/>
          </w:tcPr>
          <w:p>
            <w:r>
              <w:rPr>
                <w:rFonts w:ascii="Aptos" w:hAnsi="Aptos"/>
                <w:sz w:val="15"/>
              </w:rPr>
              <w:t>2,000,000</w:t>
            </w:r>
          </w:p>
        </w:tc>
        <w:tc>
          <w:tcPr>
            <w:tcW w:type="dxa" w:w="960120"/>
            <w:vAlign w:val="center"/>
            <w:tcMar>
              <w:top w:w="55" w:type="dxa"/>
              <w:start w:w="65" w:type="dxa"/>
              <w:bottom w:w="55" w:type="dxa"/>
              <w:end w:w="65" w:type="dxa"/>
            </w:tcMar>
            <w:shd w:fill="F7F9FB"/>
          </w:tcPr>
          <w:p>
            <w:r>
              <w:rPr>
                <w:rFonts w:ascii="Aptos" w:hAnsi="Aptos"/>
                <w:sz w:val="15"/>
              </w:rPr>
              <w:t>16,000,000</w:t>
            </w:r>
          </w:p>
        </w:tc>
        <w:tc>
          <w:tcPr>
            <w:tcW w:type="dxa" w:w="640080"/>
            <w:vAlign w:val="center"/>
            <w:tcMar>
              <w:top w:w="55" w:type="dxa"/>
              <w:start w:w="65" w:type="dxa"/>
              <w:bottom w:w="55" w:type="dxa"/>
              <w:end w:w="65" w:type="dxa"/>
            </w:tcMar>
            <w:shd w:fill="F7F9FB"/>
          </w:tcPr>
          <w:p>
            <w:r>
              <w:rPr>
                <w:rFonts w:ascii="Aptos" w:hAnsi="Aptos"/>
                <w:sz w:val="15"/>
              </w:rPr>
              <w:t>11.6%</w:t>
            </w:r>
          </w:p>
        </w:tc>
      </w:tr>
      <w:tr>
        <w:trPr>
          <w:cantSplit/>
          <w:cantSplit/>
        </w:trPr>
        <w:tc>
          <w:tcPr>
            <w:tcW w:type="dxa" w:w="502920"/>
            <w:vAlign w:val="center"/>
            <w:tcMar>
              <w:top w:w="55" w:type="dxa"/>
              <w:start w:w="65" w:type="dxa"/>
              <w:bottom w:w="55" w:type="dxa"/>
              <w:end w:w="65" w:type="dxa"/>
            </w:tcMar>
          </w:tcPr>
          <w:p>
            <w:r>
              <w:rPr>
                <w:rFonts w:ascii="Aptos" w:hAnsi="Aptos"/>
                <w:sz w:val="15"/>
              </w:rPr>
              <w:t>3</w:t>
            </w:r>
          </w:p>
        </w:tc>
        <w:tc>
          <w:tcPr>
            <w:tcW w:type="dxa" w:w="3520440"/>
            <w:vAlign w:val="center"/>
            <w:tcMar>
              <w:top w:w="55" w:type="dxa"/>
              <w:start w:w="65" w:type="dxa"/>
              <w:bottom w:w="55" w:type="dxa"/>
              <w:end w:w="65" w:type="dxa"/>
            </w:tcMar>
          </w:tcPr>
          <w:p>
            <w:r>
              <w:rPr>
                <w:rFonts w:ascii="Aptos" w:hAnsi="Aptos"/>
                <w:sz w:val="15"/>
              </w:rPr>
              <w:t>Agronomy, diversification, food security and extension</w:t>
            </w:r>
          </w:p>
        </w:tc>
        <w:tc>
          <w:tcPr>
            <w:tcW w:type="dxa" w:w="868680"/>
            <w:vAlign w:val="center"/>
            <w:tcMar>
              <w:top w:w="55" w:type="dxa"/>
              <w:start w:w="65" w:type="dxa"/>
              <w:bottom w:w="55" w:type="dxa"/>
              <w:end w:w="65" w:type="dxa"/>
            </w:tcMar>
          </w:tcPr>
          <w:p>
            <w:r>
              <w:rPr>
                <w:rFonts w:ascii="Aptos" w:hAnsi="Aptos"/>
                <w:sz w:val="15"/>
              </w:rPr>
              <w:t>5,000,000</w:t>
            </w:r>
          </w:p>
        </w:tc>
        <w:tc>
          <w:tcPr>
            <w:tcW w:type="dxa" w:w="868680"/>
            <w:vAlign w:val="center"/>
            <w:tcMar>
              <w:top w:w="55" w:type="dxa"/>
              <w:start w:w="65" w:type="dxa"/>
              <w:bottom w:w="55" w:type="dxa"/>
              <w:end w:w="65" w:type="dxa"/>
            </w:tcMar>
          </w:tcPr>
          <w:p>
            <w:r>
              <w:rPr>
                <w:rFonts w:ascii="Aptos" w:hAnsi="Aptos"/>
                <w:sz w:val="15"/>
              </w:rPr>
              <w:t>6,000,000</w:t>
            </w:r>
          </w:p>
        </w:tc>
        <w:tc>
          <w:tcPr>
            <w:tcW w:type="dxa" w:w="868680"/>
            <w:vAlign w:val="center"/>
            <w:tcMar>
              <w:top w:w="55" w:type="dxa"/>
              <w:start w:w="65" w:type="dxa"/>
              <w:bottom w:w="55" w:type="dxa"/>
              <w:end w:w="65" w:type="dxa"/>
            </w:tcMar>
          </w:tcPr>
          <w:p>
            <w:r>
              <w:rPr>
                <w:rFonts w:ascii="Aptos" w:hAnsi="Aptos"/>
                <w:sz w:val="15"/>
              </w:rPr>
              <w:t>7,000,000</w:t>
            </w:r>
          </w:p>
        </w:tc>
        <w:tc>
          <w:tcPr>
            <w:tcW w:type="dxa" w:w="960120"/>
            <w:vAlign w:val="center"/>
            <w:tcMar>
              <w:top w:w="55" w:type="dxa"/>
              <w:start w:w="65" w:type="dxa"/>
              <w:bottom w:w="55" w:type="dxa"/>
              <w:end w:w="65" w:type="dxa"/>
            </w:tcMar>
          </w:tcPr>
          <w:p>
            <w:r>
              <w:rPr>
                <w:rFonts w:ascii="Aptos" w:hAnsi="Aptos"/>
                <w:sz w:val="15"/>
              </w:rPr>
              <w:t>18,000,000</w:t>
            </w:r>
          </w:p>
        </w:tc>
        <w:tc>
          <w:tcPr>
            <w:tcW w:type="dxa" w:w="640080"/>
            <w:vAlign w:val="center"/>
            <w:tcMar>
              <w:top w:w="55" w:type="dxa"/>
              <w:start w:w="65" w:type="dxa"/>
              <w:bottom w:w="55" w:type="dxa"/>
              <w:end w:w="65" w:type="dxa"/>
            </w:tcMar>
          </w:tcPr>
          <w:p>
            <w:r>
              <w:rPr>
                <w:rFonts w:ascii="Aptos" w:hAnsi="Aptos"/>
                <w:sz w:val="15"/>
              </w:rPr>
              <w:t>13.0%</w:t>
            </w:r>
          </w:p>
        </w:tc>
      </w:tr>
      <w:tr>
        <w:trPr>
          <w:cantSplit/>
          <w:cantSplit/>
        </w:trPr>
        <w:tc>
          <w:tcPr>
            <w:tcW w:type="dxa" w:w="502920"/>
            <w:vAlign w:val="center"/>
            <w:tcMar>
              <w:top w:w="55" w:type="dxa"/>
              <w:start w:w="65" w:type="dxa"/>
              <w:bottom w:w="55" w:type="dxa"/>
              <w:end w:w="65" w:type="dxa"/>
            </w:tcMar>
            <w:shd w:fill="F7F9FB"/>
          </w:tcPr>
          <w:p>
            <w:r>
              <w:rPr>
                <w:rFonts w:ascii="Aptos" w:hAnsi="Aptos"/>
                <w:sz w:val="15"/>
              </w:rPr>
              <w:t>4</w:t>
            </w:r>
          </w:p>
        </w:tc>
        <w:tc>
          <w:tcPr>
            <w:tcW w:type="dxa" w:w="3520440"/>
            <w:vAlign w:val="center"/>
            <w:tcMar>
              <w:top w:w="55" w:type="dxa"/>
              <w:start w:w="65" w:type="dxa"/>
              <w:bottom w:w="55" w:type="dxa"/>
              <w:end w:w="65" w:type="dxa"/>
            </w:tcMar>
            <w:shd w:fill="F7F9FB"/>
          </w:tcPr>
          <w:p>
            <w:r>
              <w:rPr>
                <w:rFonts w:ascii="Aptos" w:hAnsi="Aptos"/>
                <w:sz w:val="15"/>
              </w:rPr>
              <w:t>Standards, quality assurance, testing and certification readiness</w:t>
            </w:r>
          </w:p>
        </w:tc>
        <w:tc>
          <w:tcPr>
            <w:tcW w:type="dxa" w:w="868680"/>
            <w:vAlign w:val="center"/>
            <w:tcMar>
              <w:top w:w="55" w:type="dxa"/>
              <w:start w:w="65" w:type="dxa"/>
              <w:bottom w:w="55" w:type="dxa"/>
              <w:end w:w="65" w:type="dxa"/>
            </w:tcMar>
            <w:shd w:fill="F7F9FB"/>
          </w:tcPr>
          <w:p>
            <w:r>
              <w:rPr>
                <w:rFonts w:ascii="Aptos" w:hAnsi="Aptos"/>
                <w:sz w:val="15"/>
              </w:rPr>
              <w:t>5,000,000</w:t>
            </w:r>
          </w:p>
        </w:tc>
        <w:tc>
          <w:tcPr>
            <w:tcW w:type="dxa" w:w="868680"/>
            <w:vAlign w:val="center"/>
            <w:tcMar>
              <w:top w:w="55" w:type="dxa"/>
              <w:start w:w="65" w:type="dxa"/>
              <w:bottom w:w="55" w:type="dxa"/>
              <w:end w:w="65" w:type="dxa"/>
            </w:tcMar>
            <w:shd w:fill="F7F9FB"/>
          </w:tcPr>
          <w:p>
            <w:r>
              <w:rPr>
                <w:rFonts w:ascii="Aptos" w:hAnsi="Aptos"/>
                <w:sz w:val="15"/>
              </w:rPr>
              <w:t>7,000,000</w:t>
            </w:r>
          </w:p>
        </w:tc>
        <w:tc>
          <w:tcPr>
            <w:tcW w:type="dxa" w:w="868680"/>
            <w:vAlign w:val="center"/>
            <w:tcMar>
              <w:top w:w="55" w:type="dxa"/>
              <w:start w:w="65" w:type="dxa"/>
              <w:bottom w:w="55" w:type="dxa"/>
              <w:end w:w="65" w:type="dxa"/>
            </w:tcMar>
            <w:shd w:fill="F7F9FB"/>
          </w:tcPr>
          <w:p>
            <w:r>
              <w:rPr>
                <w:rFonts w:ascii="Aptos" w:hAnsi="Aptos"/>
                <w:sz w:val="15"/>
              </w:rPr>
              <w:t>7,000,000</w:t>
            </w:r>
          </w:p>
        </w:tc>
        <w:tc>
          <w:tcPr>
            <w:tcW w:type="dxa" w:w="960120"/>
            <w:vAlign w:val="center"/>
            <w:tcMar>
              <w:top w:w="55" w:type="dxa"/>
              <w:start w:w="65" w:type="dxa"/>
              <w:bottom w:w="55" w:type="dxa"/>
              <w:end w:w="65" w:type="dxa"/>
            </w:tcMar>
            <w:shd w:fill="F7F9FB"/>
          </w:tcPr>
          <w:p>
            <w:r>
              <w:rPr>
                <w:rFonts w:ascii="Aptos" w:hAnsi="Aptos"/>
                <w:sz w:val="15"/>
              </w:rPr>
              <w:t>19,000,000</w:t>
            </w:r>
          </w:p>
        </w:tc>
        <w:tc>
          <w:tcPr>
            <w:tcW w:type="dxa" w:w="640080"/>
            <w:vAlign w:val="center"/>
            <w:tcMar>
              <w:top w:w="55" w:type="dxa"/>
              <w:start w:w="65" w:type="dxa"/>
              <w:bottom w:w="55" w:type="dxa"/>
              <w:end w:w="65" w:type="dxa"/>
            </w:tcMar>
            <w:shd w:fill="F7F9FB"/>
          </w:tcPr>
          <w:p>
            <w:r>
              <w:rPr>
                <w:rFonts w:ascii="Aptos" w:hAnsi="Aptos"/>
                <w:sz w:val="15"/>
              </w:rPr>
              <w:t>13.8%</w:t>
            </w:r>
          </w:p>
        </w:tc>
      </w:tr>
      <w:tr>
        <w:trPr>
          <w:cantSplit/>
          <w:cantSplit/>
        </w:trPr>
        <w:tc>
          <w:tcPr>
            <w:tcW w:type="dxa" w:w="502920"/>
            <w:vAlign w:val="center"/>
            <w:tcMar>
              <w:top w:w="55" w:type="dxa"/>
              <w:start w:w="65" w:type="dxa"/>
              <w:bottom w:w="55" w:type="dxa"/>
              <w:end w:w="65" w:type="dxa"/>
            </w:tcMar>
          </w:tcPr>
          <w:p>
            <w:r>
              <w:rPr>
                <w:rFonts w:ascii="Aptos" w:hAnsi="Aptos"/>
                <w:sz w:val="15"/>
              </w:rPr>
              <w:t>5</w:t>
            </w:r>
          </w:p>
        </w:tc>
        <w:tc>
          <w:tcPr>
            <w:tcW w:type="dxa" w:w="3520440"/>
            <w:vAlign w:val="center"/>
            <w:tcMar>
              <w:top w:w="55" w:type="dxa"/>
              <w:start w:w="65" w:type="dxa"/>
              <w:bottom w:w="55" w:type="dxa"/>
              <w:end w:w="65" w:type="dxa"/>
            </w:tcMar>
          </w:tcPr>
          <w:p>
            <w:r>
              <w:rPr>
                <w:rFonts w:ascii="Aptos" w:hAnsi="Aptos"/>
                <w:sz w:val="15"/>
              </w:rPr>
              <w:t>Digital platform, GIS, payments, permissioned blockchain, credentials, integrations and deployment - Afrisol Technologies Limited</w:t>
            </w:r>
          </w:p>
        </w:tc>
        <w:tc>
          <w:tcPr>
            <w:tcW w:type="dxa" w:w="868680"/>
            <w:vAlign w:val="center"/>
            <w:tcMar>
              <w:top w:w="55" w:type="dxa"/>
              <w:start w:w="65" w:type="dxa"/>
              <w:bottom w:w="55" w:type="dxa"/>
              <w:end w:w="65" w:type="dxa"/>
            </w:tcMar>
          </w:tcPr>
          <w:p>
            <w:r>
              <w:rPr>
                <w:rFonts w:ascii="Aptos" w:hAnsi="Aptos"/>
                <w:sz w:val="15"/>
              </w:rPr>
              <w:t>12,000,000</w:t>
            </w:r>
          </w:p>
        </w:tc>
        <w:tc>
          <w:tcPr>
            <w:tcW w:type="dxa" w:w="868680"/>
            <w:vAlign w:val="center"/>
            <w:tcMar>
              <w:top w:w="55" w:type="dxa"/>
              <w:start w:w="65" w:type="dxa"/>
              <w:bottom w:w="55" w:type="dxa"/>
              <w:end w:w="65" w:type="dxa"/>
            </w:tcMar>
          </w:tcPr>
          <w:p>
            <w:r>
              <w:rPr>
                <w:rFonts w:ascii="Aptos" w:hAnsi="Aptos"/>
                <w:sz w:val="15"/>
              </w:rPr>
              <w:t>9,000,000</w:t>
            </w:r>
          </w:p>
        </w:tc>
        <w:tc>
          <w:tcPr>
            <w:tcW w:type="dxa" w:w="868680"/>
            <w:vAlign w:val="center"/>
            <w:tcMar>
              <w:top w:w="55" w:type="dxa"/>
              <w:start w:w="65" w:type="dxa"/>
              <w:bottom w:w="55" w:type="dxa"/>
              <w:end w:w="65" w:type="dxa"/>
            </w:tcMar>
          </w:tcPr>
          <w:p>
            <w:r>
              <w:rPr>
                <w:rFonts w:ascii="Aptos" w:hAnsi="Aptos"/>
                <w:sz w:val="15"/>
              </w:rPr>
              <w:t>4,000,000</w:t>
            </w:r>
          </w:p>
        </w:tc>
        <w:tc>
          <w:tcPr>
            <w:tcW w:type="dxa" w:w="960120"/>
            <w:vAlign w:val="center"/>
            <w:tcMar>
              <w:top w:w="55" w:type="dxa"/>
              <w:start w:w="65" w:type="dxa"/>
              <w:bottom w:w="55" w:type="dxa"/>
              <w:end w:w="65" w:type="dxa"/>
            </w:tcMar>
          </w:tcPr>
          <w:p>
            <w:r>
              <w:rPr>
                <w:rFonts w:ascii="Aptos" w:hAnsi="Aptos"/>
                <w:sz w:val="15"/>
              </w:rPr>
              <w:t>25,000,000</w:t>
            </w:r>
          </w:p>
        </w:tc>
        <w:tc>
          <w:tcPr>
            <w:tcW w:type="dxa" w:w="640080"/>
            <w:vAlign w:val="center"/>
            <w:tcMar>
              <w:top w:w="55" w:type="dxa"/>
              <w:start w:w="65" w:type="dxa"/>
              <w:bottom w:w="55" w:type="dxa"/>
              <w:end w:w="65" w:type="dxa"/>
            </w:tcMar>
          </w:tcPr>
          <w:p>
            <w:r>
              <w:rPr>
                <w:rFonts w:ascii="Aptos" w:hAnsi="Aptos"/>
                <w:sz w:val="15"/>
              </w:rPr>
              <w:t>18.1%</w:t>
            </w:r>
          </w:p>
        </w:tc>
      </w:tr>
      <w:tr>
        <w:trPr>
          <w:cantSplit/>
          <w:cantSplit/>
        </w:trPr>
        <w:tc>
          <w:tcPr>
            <w:tcW w:type="dxa" w:w="502920"/>
            <w:vAlign w:val="center"/>
            <w:tcMar>
              <w:top w:w="55" w:type="dxa"/>
              <w:start w:w="65" w:type="dxa"/>
              <w:bottom w:w="55" w:type="dxa"/>
              <w:end w:w="65" w:type="dxa"/>
            </w:tcMar>
            <w:shd w:fill="F7F9FB"/>
          </w:tcPr>
          <w:p>
            <w:r>
              <w:rPr>
                <w:rFonts w:ascii="Aptos" w:hAnsi="Aptos"/>
                <w:sz w:val="15"/>
              </w:rPr>
              <w:t>6</w:t>
            </w:r>
          </w:p>
        </w:tc>
        <w:tc>
          <w:tcPr>
            <w:tcW w:type="dxa" w:w="3520440"/>
            <w:vAlign w:val="center"/>
            <w:tcMar>
              <w:top w:w="55" w:type="dxa"/>
              <w:start w:w="65" w:type="dxa"/>
              <w:bottom w:w="55" w:type="dxa"/>
              <w:end w:w="65" w:type="dxa"/>
            </w:tcMar>
            <w:shd w:fill="F7F9FB"/>
          </w:tcPr>
          <w:p>
            <w:r>
              <w:rPr>
                <w:rFonts w:ascii="Aptos" w:hAnsi="Aptos"/>
                <w:sz w:val="15"/>
              </w:rPr>
              <w:t>Demonstration, processing trials and regulatory compliance</w:t>
            </w:r>
          </w:p>
        </w:tc>
        <w:tc>
          <w:tcPr>
            <w:tcW w:type="dxa" w:w="868680"/>
            <w:vAlign w:val="center"/>
            <w:tcMar>
              <w:top w:w="55" w:type="dxa"/>
              <w:start w:w="65" w:type="dxa"/>
              <w:bottom w:w="55" w:type="dxa"/>
              <w:end w:w="65" w:type="dxa"/>
            </w:tcMar>
            <w:shd w:fill="F7F9FB"/>
          </w:tcPr>
          <w:p>
            <w:r>
              <w:rPr>
                <w:rFonts w:ascii="Aptos" w:hAnsi="Aptos"/>
                <w:sz w:val="15"/>
              </w:rPr>
              <w:t>3,000,000</w:t>
            </w:r>
          </w:p>
        </w:tc>
        <w:tc>
          <w:tcPr>
            <w:tcW w:type="dxa" w:w="868680"/>
            <w:vAlign w:val="center"/>
            <w:tcMar>
              <w:top w:w="55" w:type="dxa"/>
              <w:start w:w="65" w:type="dxa"/>
              <w:bottom w:w="55" w:type="dxa"/>
              <w:end w:w="65" w:type="dxa"/>
            </w:tcMar>
            <w:shd w:fill="F7F9FB"/>
          </w:tcPr>
          <w:p>
            <w:r>
              <w:rPr>
                <w:rFonts w:ascii="Aptos" w:hAnsi="Aptos"/>
                <w:sz w:val="15"/>
              </w:rPr>
              <w:t>5,000,000</w:t>
            </w:r>
          </w:p>
        </w:tc>
        <w:tc>
          <w:tcPr>
            <w:tcW w:type="dxa" w:w="868680"/>
            <w:vAlign w:val="center"/>
            <w:tcMar>
              <w:top w:w="55" w:type="dxa"/>
              <w:start w:w="65" w:type="dxa"/>
              <w:bottom w:w="55" w:type="dxa"/>
              <w:end w:w="65" w:type="dxa"/>
            </w:tcMar>
            <w:shd w:fill="F7F9FB"/>
          </w:tcPr>
          <w:p>
            <w:r>
              <w:rPr>
                <w:rFonts w:ascii="Aptos" w:hAnsi="Aptos"/>
                <w:sz w:val="15"/>
              </w:rPr>
              <w:t>4,000,000</w:t>
            </w:r>
          </w:p>
        </w:tc>
        <w:tc>
          <w:tcPr>
            <w:tcW w:type="dxa" w:w="960120"/>
            <w:vAlign w:val="center"/>
            <w:tcMar>
              <w:top w:w="55" w:type="dxa"/>
              <w:start w:w="65" w:type="dxa"/>
              <w:bottom w:w="55" w:type="dxa"/>
              <w:end w:w="65" w:type="dxa"/>
            </w:tcMar>
            <w:shd w:fill="F7F9FB"/>
          </w:tcPr>
          <w:p>
            <w:r>
              <w:rPr>
                <w:rFonts w:ascii="Aptos" w:hAnsi="Aptos"/>
                <w:sz w:val="15"/>
              </w:rPr>
              <w:t>12,000,000</w:t>
            </w:r>
          </w:p>
        </w:tc>
        <w:tc>
          <w:tcPr>
            <w:tcW w:type="dxa" w:w="640080"/>
            <w:vAlign w:val="center"/>
            <w:tcMar>
              <w:top w:w="55" w:type="dxa"/>
              <w:start w:w="65" w:type="dxa"/>
              <w:bottom w:w="55" w:type="dxa"/>
              <w:end w:w="65" w:type="dxa"/>
            </w:tcMar>
            <w:shd w:fill="F7F9FB"/>
          </w:tcPr>
          <w:p>
            <w:r>
              <w:rPr>
                <w:rFonts w:ascii="Aptos" w:hAnsi="Aptos"/>
                <w:sz w:val="15"/>
              </w:rPr>
              <w:t>8.7%</w:t>
            </w:r>
          </w:p>
        </w:tc>
      </w:tr>
      <w:tr>
        <w:trPr>
          <w:cantSplit/>
          <w:cantSplit/>
        </w:trPr>
        <w:tc>
          <w:tcPr>
            <w:tcW w:type="dxa" w:w="502920"/>
            <w:vAlign w:val="center"/>
            <w:tcMar>
              <w:top w:w="55" w:type="dxa"/>
              <w:start w:w="65" w:type="dxa"/>
              <w:bottom w:w="55" w:type="dxa"/>
              <w:end w:w="65" w:type="dxa"/>
            </w:tcMar>
          </w:tcPr>
          <w:p>
            <w:r>
              <w:rPr>
                <w:rFonts w:ascii="Aptos" w:hAnsi="Aptos"/>
                <w:sz w:val="15"/>
              </w:rPr>
              <w:t>7</w:t>
            </w:r>
          </w:p>
        </w:tc>
        <w:tc>
          <w:tcPr>
            <w:tcW w:type="dxa" w:w="3520440"/>
            <w:vAlign w:val="center"/>
            <w:tcMar>
              <w:top w:w="55" w:type="dxa"/>
              <w:start w:w="65" w:type="dxa"/>
              <w:bottom w:w="55" w:type="dxa"/>
              <w:end w:w="65" w:type="dxa"/>
            </w:tcMar>
          </w:tcPr>
          <w:p>
            <w:r>
              <w:rPr>
                <w:rFonts w:ascii="Aptos" w:hAnsi="Aptos"/>
                <w:sz w:val="15"/>
              </w:rPr>
              <w:t>Buyer linkage, EU export readiness and commercial transactions</w:t>
            </w:r>
          </w:p>
        </w:tc>
        <w:tc>
          <w:tcPr>
            <w:tcW w:type="dxa" w:w="868680"/>
            <w:vAlign w:val="center"/>
            <w:tcMar>
              <w:top w:w="55" w:type="dxa"/>
              <w:start w:w="65" w:type="dxa"/>
              <w:bottom w:w="55" w:type="dxa"/>
              <w:end w:w="65" w:type="dxa"/>
            </w:tcMar>
          </w:tcPr>
          <w:p>
            <w:r>
              <w:rPr>
                <w:rFonts w:ascii="Aptos" w:hAnsi="Aptos"/>
                <w:sz w:val="15"/>
              </w:rPr>
              <w:t>2,000,000</w:t>
            </w:r>
          </w:p>
        </w:tc>
        <w:tc>
          <w:tcPr>
            <w:tcW w:type="dxa" w:w="868680"/>
            <w:vAlign w:val="center"/>
            <w:tcMar>
              <w:top w:w="55" w:type="dxa"/>
              <w:start w:w="65" w:type="dxa"/>
              <w:bottom w:w="55" w:type="dxa"/>
              <w:end w:w="65" w:type="dxa"/>
            </w:tcMar>
          </w:tcPr>
          <w:p>
            <w:r>
              <w:rPr>
                <w:rFonts w:ascii="Aptos" w:hAnsi="Aptos"/>
                <w:sz w:val="15"/>
              </w:rPr>
              <w:t>4,500,000</w:t>
            </w:r>
          </w:p>
        </w:tc>
        <w:tc>
          <w:tcPr>
            <w:tcW w:type="dxa" w:w="868680"/>
            <w:vAlign w:val="center"/>
            <w:tcMar>
              <w:top w:w="55" w:type="dxa"/>
              <w:start w:w="65" w:type="dxa"/>
              <w:bottom w:w="55" w:type="dxa"/>
              <w:end w:w="65" w:type="dxa"/>
            </w:tcMar>
          </w:tcPr>
          <w:p>
            <w:r>
              <w:rPr>
                <w:rFonts w:ascii="Aptos" w:hAnsi="Aptos"/>
                <w:sz w:val="15"/>
              </w:rPr>
              <w:t>3,500,000</w:t>
            </w:r>
          </w:p>
        </w:tc>
        <w:tc>
          <w:tcPr>
            <w:tcW w:type="dxa" w:w="960120"/>
            <w:vAlign w:val="center"/>
            <w:tcMar>
              <w:top w:w="55" w:type="dxa"/>
              <w:start w:w="65" w:type="dxa"/>
              <w:bottom w:w="55" w:type="dxa"/>
              <w:end w:w="65" w:type="dxa"/>
            </w:tcMar>
          </w:tcPr>
          <w:p>
            <w:r>
              <w:rPr>
                <w:rFonts w:ascii="Aptos" w:hAnsi="Aptos"/>
                <w:sz w:val="15"/>
              </w:rPr>
              <w:t>10,000,000</w:t>
            </w:r>
          </w:p>
        </w:tc>
        <w:tc>
          <w:tcPr>
            <w:tcW w:type="dxa" w:w="640080"/>
            <w:vAlign w:val="center"/>
            <w:tcMar>
              <w:top w:w="55" w:type="dxa"/>
              <w:start w:w="65" w:type="dxa"/>
              <w:bottom w:w="55" w:type="dxa"/>
              <w:end w:w="65" w:type="dxa"/>
            </w:tcMar>
          </w:tcPr>
          <w:p>
            <w:r>
              <w:rPr>
                <w:rFonts w:ascii="Aptos" w:hAnsi="Aptos"/>
                <w:sz w:val="15"/>
              </w:rPr>
              <w:t>7.2%</w:t>
            </w:r>
          </w:p>
        </w:tc>
      </w:tr>
      <w:tr>
        <w:trPr>
          <w:cantSplit/>
          <w:cantSplit/>
        </w:trPr>
        <w:tc>
          <w:tcPr>
            <w:tcW w:type="dxa" w:w="502920"/>
            <w:vAlign w:val="center"/>
            <w:tcMar>
              <w:top w:w="55" w:type="dxa"/>
              <w:start w:w="65" w:type="dxa"/>
              <w:bottom w:w="55" w:type="dxa"/>
              <w:end w:w="65" w:type="dxa"/>
            </w:tcMar>
            <w:shd w:fill="F7F9FB"/>
          </w:tcPr>
          <w:p>
            <w:r>
              <w:rPr>
                <w:rFonts w:ascii="Aptos" w:hAnsi="Aptos"/>
                <w:sz w:val="15"/>
              </w:rPr>
              <w:t>8</w:t>
            </w:r>
          </w:p>
        </w:tc>
        <w:tc>
          <w:tcPr>
            <w:tcW w:type="dxa" w:w="3520440"/>
            <w:vAlign w:val="center"/>
            <w:tcMar>
              <w:top w:w="55" w:type="dxa"/>
              <w:start w:w="65" w:type="dxa"/>
              <w:bottom w:w="55" w:type="dxa"/>
              <w:end w:w="65" w:type="dxa"/>
            </w:tcMar>
            <w:shd w:fill="F7F9FB"/>
          </w:tcPr>
          <w:p>
            <w:r>
              <w:rPr>
                <w:rFonts w:ascii="Aptos" w:hAnsi="Aptos"/>
                <w:sz w:val="15"/>
              </w:rPr>
              <w:t>Inclusion, enterprise support and community grants</w:t>
            </w:r>
          </w:p>
        </w:tc>
        <w:tc>
          <w:tcPr>
            <w:tcW w:type="dxa" w:w="868680"/>
            <w:vAlign w:val="center"/>
            <w:tcMar>
              <w:top w:w="55" w:type="dxa"/>
              <w:start w:w="65" w:type="dxa"/>
              <w:bottom w:w="55" w:type="dxa"/>
              <w:end w:w="65" w:type="dxa"/>
            </w:tcMar>
            <w:shd w:fill="F7F9FB"/>
          </w:tcPr>
          <w:p>
            <w:r>
              <w:rPr>
                <w:rFonts w:ascii="Aptos" w:hAnsi="Aptos"/>
                <w:sz w:val="15"/>
              </w:rPr>
              <w:t>2,500,000</w:t>
            </w:r>
          </w:p>
        </w:tc>
        <w:tc>
          <w:tcPr>
            <w:tcW w:type="dxa" w:w="868680"/>
            <w:vAlign w:val="center"/>
            <w:tcMar>
              <w:top w:w="55" w:type="dxa"/>
              <w:start w:w="65" w:type="dxa"/>
              <w:bottom w:w="55" w:type="dxa"/>
              <w:end w:w="65" w:type="dxa"/>
            </w:tcMar>
            <w:shd w:fill="F7F9FB"/>
          </w:tcPr>
          <w:p>
            <w:r>
              <w:rPr>
                <w:rFonts w:ascii="Aptos" w:hAnsi="Aptos"/>
                <w:sz w:val="15"/>
              </w:rPr>
              <w:t>5,000,000</w:t>
            </w:r>
          </w:p>
        </w:tc>
        <w:tc>
          <w:tcPr>
            <w:tcW w:type="dxa" w:w="868680"/>
            <w:vAlign w:val="center"/>
            <w:tcMar>
              <w:top w:w="55" w:type="dxa"/>
              <w:start w:w="65" w:type="dxa"/>
              <w:bottom w:w="55" w:type="dxa"/>
              <w:end w:w="65" w:type="dxa"/>
            </w:tcMar>
            <w:shd w:fill="F7F9FB"/>
          </w:tcPr>
          <w:p>
            <w:r>
              <w:rPr>
                <w:rFonts w:ascii="Aptos" w:hAnsi="Aptos"/>
                <w:sz w:val="15"/>
              </w:rPr>
              <w:t>2,500,000</w:t>
            </w:r>
          </w:p>
        </w:tc>
        <w:tc>
          <w:tcPr>
            <w:tcW w:type="dxa" w:w="960120"/>
            <w:vAlign w:val="center"/>
            <w:tcMar>
              <w:top w:w="55" w:type="dxa"/>
              <w:start w:w="65" w:type="dxa"/>
              <w:bottom w:w="55" w:type="dxa"/>
              <w:end w:w="65" w:type="dxa"/>
            </w:tcMar>
            <w:shd w:fill="F7F9FB"/>
          </w:tcPr>
          <w:p>
            <w:r>
              <w:rPr>
                <w:rFonts w:ascii="Aptos" w:hAnsi="Aptos"/>
                <w:sz w:val="15"/>
              </w:rPr>
              <w:t>10,000,000</w:t>
            </w:r>
          </w:p>
        </w:tc>
        <w:tc>
          <w:tcPr>
            <w:tcW w:type="dxa" w:w="640080"/>
            <w:vAlign w:val="center"/>
            <w:tcMar>
              <w:top w:w="55" w:type="dxa"/>
              <w:start w:w="65" w:type="dxa"/>
              <w:bottom w:w="55" w:type="dxa"/>
              <w:end w:w="65" w:type="dxa"/>
            </w:tcMar>
            <w:shd w:fill="F7F9FB"/>
          </w:tcPr>
          <w:p>
            <w:r>
              <w:rPr>
                <w:rFonts w:ascii="Aptos" w:hAnsi="Aptos"/>
                <w:sz w:val="15"/>
              </w:rPr>
              <w:t>7.2%</w:t>
            </w:r>
          </w:p>
        </w:tc>
      </w:tr>
      <w:tr>
        <w:trPr>
          <w:cantSplit/>
          <w:cantSplit/>
        </w:trPr>
        <w:tc>
          <w:tcPr>
            <w:tcW w:type="dxa" w:w="502920"/>
            <w:vAlign w:val="center"/>
            <w:tcMar>
              <w:top w:w="55" w:type="dxa"/>
              <w:start w:w="65" w:type="dxa"/>
              <w:bottom w:w="55" w:type="dxa"/>
              <w:end w:w="65" w:type="dxa"/>
            </w:tcMar>
          </w:tcPr>
          <w:p>
            <w:r>
              <w:rPr>
                <w:rFonts w:ascii="Aptos" w:hAnsi="Aptos"/>
                <w:sz w:val="15"/>
              </w:rPr>
              <w:t>9</w:t>
            </w:r>
          </w:p>
        </w:tc>
        <w:tc>
          <w:tcPr>
            <w:tcW w:type="dxa" w:w="3520440"/>
            <w:vAlign w:val="center"/>
            <w:tcMar>
              <w:top w:w="55" w:type="dxa"/>
              <w:start w:w="65" w:type="dxa"/>
              <w:bottom w:w="55" w:type="dxa"/>
              <w:end w:w="65" w:type="dxa"/>
            </w:tcMar>
          </w:tcPr>
          <w:p>
            <w:r>
              <w:rPr>
                <w:rFonts w:ascii="Aptos" w:hAnsi="Aptos"/>
                <w:sz w:val="15"/>
              </w:rPr>
              <w:t>Monitoring, evaluation, learning and replication</w:t>
            </w:r>
          </w:p>
        </w:tc>
        <w:tc>
          <w:tcPr>
            <w:tcW w:type="dxa" w:w="868680"/>
            <w:vAlign w:val="center"/>
            <w:tcMar>
              <w:top w:w="55" w:type="dxa"/>
              <w:start w:w="65" w:type="dxa"/>
              <w:bottom w:w="55" w:type="dxa"/>
              <w:end w:w="65" w:type="dxa"/>
            </w:tcMar>
          </w:tcPr>
          <w:p>
            <w:r>
              <w:rPr>
                <w:rFonts w:ascii="Aptos" w:hAnsi="Aptos"/>
                <w:sz w:val="15"/>
              </w:rPr>
              <w:t>2,500,000</w:t>
            </w:r>
          </w:p>
        </w:tc>
        <w:tc>
          <w:tcPr>
            <w:tcW w:type="dxa" w:w="868680"/>
            <w:vAlign w:val="center"/>
            <w:tcMar>
              <w:top w:w="55" w:type="dxa"/>
              <w:start w:w="65" w:type="dxa"/>
              <w:bottom w:w="55" w:type="dxa"/>
              <w:end w:w="65" w:type="dxa"/>
            </w:tcMar>
          </w:tcPr>
          <w:p>
            <w:r>
              <w:rPr>
                <w:rFonts w:ascii="Aptos" w:hAnsi="Aptos"/>
                <w:sz w:val="15"/>
              </w:rPr>
              <w:t>2,500,000</w:t>
            </w:r>
          </w:p>
        </w:tc>
        <w:tc>
          <w:tcPr>
            <w:tcW w:type="dxa" w:w="868680"/>
            <w:vAlign w:val="center"/>
            <w:tcMar>
              <w:top w:w="55" w:type="dxa"/>
              <w:start w:w="65" w:type="dxa"/>
              <w:bottom w:w="55" w:type="dxa"/>
              <w:end w:w="65" w:type="dxa"/>
            </w:tcMar>
          </w:tcPr>
          <w:p>
            <w:r>
              <w:rPr>
                <w:rFonts w:ascii="Aptos" w:hAnsi="Aptos"/>
                <w:sz w:val="15"/>
              </w:rPr>
              <w:t>2,000,000</w:t>
            </w:r>
          </w:p>
        </w:tc>
        <w:tc>
          <w:tcPr>
            <w:tcW w:type="dxa" w:w="960120"/>
            <w:vAlign w:val="center"/>
            <w:tcMar>
              <w:top w:w="55" w:type="dxa"/>
              <w:start w:w="65" w:type="dxa"/>
              <w:bottom w:w="55" w:type="dxa"/>
              <w:end w:w="65" w:type="dxa"/>
            </w:tcMar>
          </w:tcPr>
          <w:p>
            <w:r>
              <w:rPr>
                <w:rFonts w:ascii="Aptos" w:hAnsi="Aptos"/>
                <w:sz w:val="15"/>
              </w:rPr>
              <w:t>7,000,000</w:t>
            </w:r>
          </w:p>
        </w:tc>
        <w:tc>
          <w:tcPr>
            <w:tcW w:type="dxa" w:w="640080"/>
            <w:vAlign w:val="center"/>
            <w:tcMar>
              <w:top w:w="55" w:type="dxa"/>
              <w:start w:w="65" w:type="dxa"/>
              <w:bottom w:w="55" w:type="dxa"/>
              <w:end w:w="65" w:type="dxa"/>
            </w:tcMar>
          </w:tcPr>
          <w:p>
            <w:r>
              <w:rPr>
                <w:rFonts w:ascii="Aptos" w:hAnsi="Aptos"/>
                <w:sz w:val="15"/>
              </w:rPr>
              <w:t>5.1%</w:t>
            </w:r>
          </w:p>
        </w:tc>
      </w:tr>
      <w:tr>
        <w:trPr>
          <w:cantSplit/>
          <w:cantSplit/>
        </w:trPr>
        <w:tc>
          <w:tcPr>
            <w:tcW w:type="dxa" w:w="502920"/>
            <w:vAlign w:val="center"/>
            <w:tcMar>
              <w:top w:w="55" w:type="dxa"/>
              <w:start w:w="65" w:type="dxa"/>
              <w:bottom w:w="55" w:type="dxa"/>
              <w:end w:w="65" w:type="dxa"/>
            </w:tcMar>
            <w:shd w:fill="F7F9FB"/>
          </w:tcPr>
          <w:p>
            <w:r>
              <w:rPr>
                <w:rFonts w:ascii="Aptos" w:hAnsi="Aptos"/>
                <w:sz w:val="15"/>
              </w:rPr>
              <w:t>10</w:t>
            </w:r>
          </w:p>
        </w:tc>
        <w:tc>
          <w:tcPr>
            <w:tcW w:type="dxa" w:w="3520440"/>
            <w:vAlign w:val="center"/>
            <w:tcMar>
              <w:top w:w="55" w:type="dxa"/>
              <w:start w:w="65" w:type="dxa"/>
              <w:bottom w:w="55" w:type="dxa"/>
              <w:end w:w="65" w:type="dxa"/>
            </w:tcMar>
            <w:shd w:fill="F7F9FB"/>
          </w:tcPr>
          <w:p>
            <w:r>
              <w:rPr>
                <w:rFonts w:ascii="Aptos" w:hAnsi="Aptos"/>
                <w:sz w:val="15"/>
              </w:rPr>
              <w:t>Consortium coordination, finance, audit and institutional overhead</w:t>
            </w:r>
          </w:p>
        </w:tc>
        <w:tc>
          <w:tcPr>
            <w:tcW w:type="dxa" w:w="868680"/>
            <w:vAlign w:val="center"/>
            <w:tcMar>
              <w:top w:w="55" w:type="dxa"/>
              <w:start w:w="65" w:type="dxa"/>
              <w:bottom w:w="55" w:type="dxa"/>
              <w:end w:w="65" w:type="dxa"/>
            </w:tcMar>
            <w:shd w:fill="F7F9FB"/>
          </w:tcPr>
          <w:p>
            <w:r>
              <w:rPr>
                <w:rFonts w:ascii="Aptos" w:hAnsi="Aptos"/>
                <w:sz w:val="15"/>
              </w:rPr>
              <w:t>4,500,000</w:t>
            </w:r>
          </w:p>
        </w:tc>
        <w:tc>
          <w:tcPr>
            <w:tcW w:type="dxa" w:w="868680"/>
            <w:vAlign w:val="center"/>
            <w:tcMar>
              <w:top w:w="55" w:type="dxa"/>
              <w:start w:w="65" w:type="dxa"/>
              <w:bottom w:w="55" w:type="dxa"/>
              <w:end w:w="65" w:type="dxa"/>
            </w:tcMar>
            <w:shd w:fill="F7F9FB"/>
          </w:tcPr>
          <w:p>
            <w:r>
              <w:rPr>
                <w:rFonts w:ascii="Aptos" w:hAnsi="Aptos"/>
                <w:sz w:val="15"/>
              </w:rPr>
              <w:t>4,500,000</w:t>
            </w:r>
          </w:p>
        </w:tc>
        <w:tc>
          <w:tcPr>
            <w:tcW w:type="dxa" w:w="868680"/>
            <w:vAlign w:val="center"/>
            <w:tcMar>
              <w:top w:w="55" w:type="dxa"/>
              <w:start w:w="65" w:type="dxa"/>
              <w:bottom w:w="55" w:type="dxa"/>
              <w:end w:w="65" w:type="dxa"/>
            </w:tcMar>
            <w:shd w:fill="F7F9FB"/>
          </w:tcPr>
          <w:p>
            <w:r>
              <w:rPr>
                <w:rFonts w:ascii="Aptos" w:hAnsi="Aptos"/>
                <w:sz w:val="15"/>
              </w:rPr>
              <w:t>4,000,000</w:t>
            </w:r>
          </w:p>
        </w:tc>
        <w:tc>
          <w:tcPr>
            <w:tcW w:type="dxa" w:w="960120"/>
            <w:vAlign w:val="center"/>
            <w:tcMar>
              <w:top w:w="55" w:type="dxa"/>
              <w:start w:w="65" w:type="dxa"/>
              <w:bottom w:w="55" w:type="dxa"/>
              <w:end w:w="65" w:type="dxa"/>
            </w:tcMar>
            <w:shd w:fill="F7F9FB"/>
          </w:tcPr>
          <w:p>
            <w:r>
              <w:rPr>
                <w:rFonts w:ascii="Aptos" w:hAnsi="Aptos"/>
                <w:sz w:val="15"/>
              </w:rPr>
              <w:t>13,000,000</w:t>
            </w:r>
          </w:p>
        </w:tc>
        <w:tc>
          <w:tcPr>
            <w:tcW w:type="dxa" w:w="640080"/>
            <w:vAlign w:val="center"/>
            <w:tcMar>
              <w:top w:w="55" w:type="dxa"/>
              <w:start w:w="65" w:type="dxa"/>
              <w:bottom w:w="55" w:type="dxa"/>
              <w:end w:w="65" w:type="dxa"/>
            </w:tcMar>
            <w:shd w:fill="F7F9FB"/>
          </w:tcPr>
          <w:p>
            <w:r>
              <w:rPr>
                <w:rFonts w:ascii="Aptos" w:hAnsi="Aptos"/>
                <w:sz w:val="15"/>
              </w:rPr>
              <w:t>9.4%</w:t>
            </w:r>
          </w:p>
        </w:tc>
      </w:tr>
      <w:tr>
        <w:trPr>
          <w:cantSplit/>
          <w:cantSplit/>
        </w:trPr>
        <w:tc>
          <w:tcPr>
            <w:tcW w:type="dxa" w:w="4156"/>
            <w:gridSpan w:val="2"/>
            <w:vAlign w:val="center"/>
            <w:tcMar>
              <w:top w:w="55" w:type="dxa"/>
              <w:start w:w="65" w:type="dxa"/>
              <w:bottom w:w="55" w:type="dxa"/>
              <w:end w:w="65" w:type="dxa"/>
            </w:tcMar>
            <w:shd w:fill="D9EAF7"/>
          </w:tcPr>
          <w:p>
            <w:r>
              <w:rPr>
                <w:rFonts w:ascii="Aptos" w:hAnsi="Aptos"/>
                <w:sz w:val="15"/>
              </w:rPr>
              <w:t>DIRECT-COST SUBTOTAL</w:t>
            </w:r>
          </w:p>
        </w:tc>
        <w:tc>
          <w:tcPr>
            <w:tcW w:type="dxa" w:w="2078"/>
            <w:vAlign w:val="center"/>
            <w:tcMar>
              <w:top w:w="55" w:type="dxa"/>
              <w:start w:w="65" w:type="dxa"/>
              <w:bottom w:w="55" w:type="dxa"/>
              <w:end w:w="65" w:type="dxa"/>
            </w:tcMar>
            <w:shd w:fill="D9EAF7"/>
          </w:tcPr>
          <w:p>
            <w:r>
              <w:rPr>
                <w:rFonts w:ascii="Aptos" w:hAnsi="Aptos"/>
                <w:sz w:val="15"/>
              </w:rPr>
              <w:t>47,500,000</w:t>
            </w:r>
          </w:p>
        </w:tc>
        <w:tc>
          <w:tcPr>
            <w:tcW w:type="dxa" w:w="2078"/>
            <w:vAlign w:val="center"/>
            <w:tcMar>
              <w:top w:w="55" w:type="dxa"/>
              <w:start w:w="65" w:type="dxa"/>
              <w:bottom w:w="55" w:type="dxa"/>
              <w:end w:w="65" w:type="dxa"/>
            </w:tcMar>
            <w:shd w:fill="D9EAF7"/>
          </w:tcPr>
          <w:p>
            <w:r>
              <w:rPr>
                <w:rFonts w:ascii="Aptos" w:hAnsi="Aptos"/>
                <w:sz w:val="15"/>
              </w:rPr>
              <w:t>45,500,000</w:t>
            </w:r>
          </w:p>
        </w:tc>
        <w:tc>
          <w:tcPr>
            <w:tcW w:type="dxa" w:w="2078"/>
            <w:vAlign w:val="center"/>
            <w:tcMar>
              <w:top w:w="55" w:type="dxa"/>
              <w:start w:w="65" w:type="dxa"/>
              <w:bottom w:w="55" w:type="dxa"/>
              <w:end w:w="65" w:type="dxa"/>
            </w:tcMar>
            <w:shd w:fill="D9EAF7"/>
          </w:tcPr>
          <w:p>
            <w:r>
              <w:rPr>
                <w:rFonts w:ascii="Aptos" w:hAnsi="Aptos"/>
                <w:sz w:val="15"/>
              </w:rPr>
              <w:t>32,000,000</w:t>
            </w:r>
          </w:p>
        </w:tc>
        <w:tc>
          <w:tcPr>
            <w:tcW w:type="dxa" w:w="2078"/>
            <w:vAlign w:val="center"/>
            <w:tcMar>
              <w:top w:w="55" w:type="dxa"/>
              <w:start w:w="65" w:type="dxa"/>
              <w:bottom w:w="55" w:type="dxa"/>
              <w:end w:w="65" w:type="dxa"/>
            </w:tcMar>
            <w:shd w:fill="D9EAF7"/>
          </w:tcPr>
          <w:p>
            <w:r>
              <w:rPr>
                <w:rFonts w:ascii="Aptos" w:hAnsi="Aptos"/>
                <w:sz w:val="15"/>
              </w:rPr>
              <w:t>125,000,000</w:t>
            </w:r>
          </w:p>
        </w:tc>
        <w:tc>
          <w:tcPr>
            <w:tcW w:type="dxa" w:w="2078"/>
            <w:vAlign w:val="center"/>
            <w:tcMar>
              <w:top w:w="55" w:type="dxa"/>
              <w:start w:w="65" w:type="dxa"/>
              <w:bottom w:w="55" w:type="dxa"/>
              <w:end w:w="65" w:type="dxa"/>
            </w:tcMar>
            <w:shd w:fill="D9EAF7"/>
          </w:tcPr>
          <w:p>
            <w:r>
              <w:rPr>
                <w:rFonts w:ascii="Aptos" w:hAnsi="Aptos"/>
                <w:sz w:val="15"/>
              </w:rPr>
              <w:t>90.6%</w:t>
            </w:r>
          </w:p>
        </w:tc>
      </w:tr>
      <w:tr>
        <w:trPr>
          <w:cantSplit/>
          <w:cantSplit/>
        </w:trPr>
        <w:tc>
          <w:tcPr>
            <w:tcW w:type="dxa" w:w="4156"/>
            <w:gridSpan w:val="2"/>
            <w:vAlign w:val="center"/>
            <w:tcMar>
              <w:top w:w="55" w:type="dxa"/>
              <w:start w:w="65" w:type="dxa"/>
              <w:bottom w:w="55" w:type="dxa"/>
              <w:end w:w="65" w:type="dxa"/>
            </w:tcMar>
            <w:shd w:fill="F7F9FB"/>
          </w:tcPr>
          <w:p>
            <w:r>
              <w:rPr>
                <w:rFonts w:ascii="Aptos" w:hAnsi="Aptos"/>
                <w:sz w:val="15"/>
              </w:rPr>
              <w:t>INDIRECT-COST SUBTOTAL</w:t>
            </w:r>
          </w:p>
        </w:tc>
        <w:tc>
          <w:tcPr>
            <w:tcW w:type="dxa" w:w="2078"/>
            <w:vAlign w:val="center"/>
            <w:tcMar>
              <w:top w:w="55" w:type="dxa"/>
              <w:start w:w="65" w:type="dxa"/>
              <w:bottom w:w="55" w:type="dxa"/>
              <w:end w:w="65" w:type="dxa"/>
            </w:tcMar>
            <w:shd w:fill="F7F9FB"/>
          </w:tcPr>
          <w:p>
            <w:r>
              <w:rPr>
                <w:rFonts w:ascii="Aptos" w:hAnsi="Aptos"/>
                <w:sz w:val="15"/>
              </w:rPr>
              <w:t>4,500,000</w:t>
            </w:r>
          </w:p>
        </w:tc>
        <w:tc>
          <w:tcPr>
            <w:tcW w:type="dxa" w:w="2078"/>
            <w:vAlign w:val="center"/>
            <w:tcMar>
              <w:top w:w="55" w:type="dxa"/>
              <w:start w:w="65" w:type="dxa"/>
              <w:bottom w:w="55" w:type="dxa"/>
              <w:end w:w="65" w:type="dxa"/>
            </w:tcMar>
            <w:shd w:fill="F7F9FB"/>
          </w:tcPr>
          <w:p>
            <w:r>
              <w:rPr>
                <w:rFonts w:ascii="Aptos" w:hAnsi="Aptos"/>
                <w:sz w:val="15"/>
              </w:rPr>
              <w:t>4,500,000</w:t>
            </w:r>
          </w:p>
        </w:tc>
        <w:tc>
          <w:tcPr>
            <w:tcW w:type="dxa" w:w="2078"/>
            <w:vAlign w:val="center"/>
            <w:tcMar>
              <w:top w:w="55" w:type="dxa"/>
              <w:start w:w="65" w:type="dxa"/>
              <w:bottom w:w="55" w:type="dxa"/>
              <w:end w:w="65" w:type="dxa"/>
            </w:tcMar>
            <w:shd w:fill="F7F9FB"/>
          </w:tcPr>
          <w:p>
            <w:r>
              <w:rPr>
                <w:rFonts w:ascii="Aptos" w:hAnsi="Aptos"/>
                <w:sz w:val="15"/>
              </w:rPr>
              <w:t>4,000,000</w:t>
            </w:r>
          </w:p>
        </w:tc>
        <w:tc>
          <w:tcPr>
            <w:tcW w:type="dxa" w:w="2078"/>
            <w:vAlign w:val="center"/>
            <w:tcMar>
              <w:top w:w="55" w:type="dxa"/>
              <w:start w:w="65" w:type="dxa"/>
              <w:bottom w:w="55" w:type="dxa"/>
              <w:end w:w="65" w:type="dxa"/>
            </w:tcMar>
            <w:shd w:fill="F7F9FB"/>
          </w:tcPr>
          <w:p>
            <w:r>
              <w:rPr>
                <w:rFonts w:ascii="Aptos" w:hAnsi="Aptos"/>
                <w:sz w:val="15"/>
              </w:rPr>
              <w:t>13,000,000</w:t>
            </w:r>
          </w:p>
        </w:tc>
        <w:tc>
          <w:tcPr>
            <w:tcW w:type="dxa" w:w="2078"/>
            <w:vAlign w:val="center"/>
            <w:tcMar>
              <w:top w:w="55" w:type="dxa"/>
              <w:start w:w="65" w:type="dxa"/>
              <w:bottom w:w="55" w:type="dxa"/>
              <w:end w:w="65" w:type="dxa"/>
            </w:tcMar>
            <w:shd w:fill="F7F9FB"/>
          </w:tcPr>
          <w:p>
            <w:r>
              <w:rPr>
                <w:rFonts w:ascii="Aptos" w:hAnsi="Aptos"/>
                <w:sz w:val="15"/>
              </w:rPr>
              <w:t>9.4%</w:t>
            </w:r>
          </w:p>
        </w:tc>
      </w:tr>
      <w:tr>
        <w:trPr>
          <w:cantSplit/>
          <w:cantSplit/>
        </w:trPr>
        <w:tc>
          <w:tcPr>
            <w:tcW w:type="dxa" w:w="4156"/>
            <w:gridSpan w:val="2"/>
            <w:vAlign w:val="center"/>
            <w:tcMar>
              <w:top w:w="55" w:type="dxa"/>
              <w:start w:w="65" w:type="dxa"/>
              <w:bottom w:w="55" w:type="dxa"/>
              <w:end w:w="65" w:type="dxa"/>
            </w:tcMar>
            <w:shd w:fill="B4C6E7"/>
          </w:tcPr>
          <w:p>
            <w:r>
              <w:rPr>
                <w:rFonts w:ascii="Aptos" w:hAnsi="Aptos"/>
                <w:sz w:val="15"/>
              </w:rPr>
              <w:t>TOTAL REQUESTED GRANT</w:t>
            </w:r>
          </w:p>
        </w:tc>
        <w:tc>
          <w:tcPr>
            <w:tcW w:type="dxa" w:w="2078"/>
            <w:vAlign w:val="center"/>
            <w:tcMar>
              <w:top w:w="55" w:type="dxa"/>
              <w:start w:w="65" w:type="dxa"/>
              <w:bottom w:w="55" w:type="dxa"/>
              <w:end w:w="65" w:type="dxa"/>
            </w:tcMar>
            <w:shd w:fill="B4C6E7"/>
          </w:tcPr>
          <w:p>
            <w:r>
              <w:rPr>
                <w:rFonts w:ascii="Aptos" w:hAnsi="Aptos"/>
                <w:sz w:val="15"/>
              </w:rPr>
              <w:t>52,000,000</w:t>
            </w:r>
          </w:p>
        </w:tc>
        <w:tc>
          <w:tcPr>
            <w:tcW w:type="dxa" w:w="2078"/>
            <w:vAlign w:val="center"/>
            <w:tcMar>
              <w:top w:w="55" w:type="dxa"/>
              <w:start w:w="65" w:type="dxa"/>
              <w:bottom w:w="55" w:type="dxa"/>
              <w:end w:w="65" w:type="dxa"/>
            </w:tcMar>
            <w:shd w:fill="B4C6E7"/>
          </w:tcPr>
          <w:p>
            <w:r>
              <w:rPr>
                <w:rFonts w:ascii="Aptos" w:hAnsi="Aptos"/>
                <w:sz w:val="15"/>
              </w:rPr>
              <w:t>50,000,000</w:t>
            </w:r>
          </w:p>
        </w:tc>
        <w:tc>
          <w:tcPr>
            <w:tcW w:type="dxa" w:w="2078"/>
            <w:vAlign w:val="center"/>
            <w:tcMar>
              <w:top w:w="55" w:type="dxa"/>
              <w:start w:w="65" w:type="dxa"/>
              <w:bottom w:w="55" w:type="dxa"/>
              <w:end w:w="65" w:type="dxa"/>
            </w:tcMar>
            <w:shd w:fill="B4C6E7"/>
          </w:tcPr>
          <w:p>
            <w:r>
              <w:rPr>
                <w:rFonts w:ascii="Aptos" w:hAnsi="Aptos"/>
                <w:sz w:val="15"/>
              </w:rPr>
              <w:t>36,000,000</w:t>
            </w:r>
          </w:p>
        </w:tc>
        <w:tc>
          <w:tcPr>
            <w:tcW w:type="dxa" w:w="2078"/>
            <w:vAlign w:val="center"/>
            <w:tcMar>
              <w:top w:w="55" w:type="dxa"/>
              <w:start w:w="65" w:type="dxa"/>
              <w:bottom w:w="55" w:type="dxa"/>
              <w:end w:w="65" w:type="dxa"/>
            </w:tcMar>
            <w:shd w:fill="B4C6E7"/>
          </w:tcPr>
          <w:p>
            <w:r>
              <w:rPr>
                <w:rFonts w:ascii="Aptos" w:hAnsi="Aptos"/>
                <w:sz w:val="15"/>
              </w:rPr>
              <w:t>138,000,000</w:t>
            </w:r>
          </w:p>
        </w:tc>
        <w:tc>
          <w:tcPr>
            <w:tcW w:type="dxa" w:w="2078"/>
            <w:vAlign w:val="center"/>
            <w:tcMar>
              <w:top w:w="55" w:type="dxa"/>
              <w:start w:w="65" w:type="dxa"/>
              <w:bottom w:w="55" w:type="dxa"/>
              <w:end w:w="65" w:type="dxa"/>
            </w:tcMar>
            <w:shd w:fill="B4C6E7"/>
          </w:tcPr>
          <w:p>
            <w:r>
              <w:rPr>
                <w:rFonts w:ascii="Aptos" w:hAnsi="Aptos"/>
                <w:sz w:val="15"/>
              </w:rPr>
              <w:t>100.0%</w:t>
            </w:r>
          </w:p>
        </w:tc>
      </w:tr>
    </w:tbl>
    <w:p/>
    <w:p>
      <w:pPr>
        <w:pStyle w:val="Heading2"/>
      </w:pPr>
      <w:r>
        <w:t>Annex 6B. Detailed Itemised Budget</w:t>
      </w:r>
    </w:p>
    <w:tbl>
      <w:tblPr>
        <w:tblStyle w:val="TableGrid"/>
        <w:tblW w:type="auto" w:w="0"/>
        <w:jc w:val="center"/>
        <w:tblLayout w:type="fixed"/>
        <w:tblLook w:firstColumn="1" w:firstRow="1" w:lastColumn="0" w:lastRow="0" w:noHBand="0" w:noVBand="1" w:val="04A0"/>
      </w:tblPr>
      <w:tblGrid>
        <w:gridCol w:w="1616"/>
        <w:gridCol w:w="1616"/>
        <w:gridCol w:w="1616"/>
        <w:gridCol w:w="1616"/>
        <w:gridCol w:w="1616"/>
        <w:gridCol w:w="1616"/>
        <w:gridCol w:w="1616"/>
        <w:gridCol w:w="1616"/>
        <w:gridCol w:w="1616"/>
      </w:tblGrid>
      <w:tr>
        <w:trPr>
          <w:tblHeader w:val="true"/>
          <w:tblHeader w:val="true"/>
        </w:trPr>
        <w:tc>
          <w:tcPr>
            <w:tcW w:type="dxa" w:w="438912"/>
            <w:vAlign w:val="center"/>
            <w:tcMar>
              <w:top w:w="50" w:type="dxa"/>
              <w:start w:w="50" w:type="dxa"/>
              <w:bottom w:w="50" w:type="dxa"/>
              <w:end w:w="50" w:type="dxa"/>
            </w:tcMar>
            <w:shd w:fill="17375E"/>
          </w:tcPr>
          <w:p>
            <w:r>
              <w:rPr>
                <w:rFonts w:ascii="Aptos" w:hAnsi="Aptos"/>
                <w:b/>
                <w:color w:val="FFFFFF"/>
                <w:sz w:val="13"/>
              </w:rPr>
              <w:t>Code</w:t>
            </w:r>
          </w:p>
        </w:tc>
        <w:tc>
          <w:tcPr>
            <w:tcW w:type="dxa" w:w="2971800"/>
            <w:vAlign w:val="center"/>
            <w:tcMar>
              <w:top w:w="50" w:type="dxa"/>
              <w:start w:w="50" w:type="dxa"/>
              <w:bottom w:w="50" w:type="dxa"/>
              <w:end w:w="50" w:type="dxa"/>
            </w:tcMar>
            <w:shd w:fill="17375E"/>
          </w:tcPr>
          <w:p>
            <w:r>
              <w:rPr>
                <w:rFonts w:ascii="Aptos" w:hAnsi="Aptos"/>
                <w:b/>
                <w:color w:val="FFFFFF"/>
                <w:sz w:val="13"/>
              </w:rPr>
              <w:t>Budget item</w:t>
            </w:r>
          </w:p>
        </w:tc>
        <w:tc>
          <w:tcPr>
            <w:tcW w:type="dxa" w:w="603504"/>
            <w:vAlign w:val="center"/>
            <w:tcMar>
              <w:top w:w="50" w:type="dxa"/>
              <w:start w:w="50" w:type="dxa"/>
              <w:bottom w:w="50" w:type="dxa"/>
              <w:end w:w="50" w:type="dxa"/>
            </w:tcMar>
            <w:shd w:fill="17375E"/>
          </w:tcPr>
          <w:p>
            <w:r>
              <w:rPr>
                <w:rFonts w:ascii="Aptos" w:hAnsi="Aptos"/>
                <w:b/>
                <w:color w:val="FFFFFF"/>
                <w:sz w:val="13"/>
              </w:rPr>
              <w:t>Unit</w:t>
            </w:r>
          </w:p>
        </w:tc>
        <w:tc>
          <w:tcPr>
            <w:tcW w:type="dxa" w:w="438912"/>
            <w:vAlign w:val="center"/>
            <w:tcMar>
              <w:top w:w="50" w:type="dxa"/>
              <w:start w:w="50" w:type="dxa"/>
              <w:bottom w:w="50" w:type="dxa"/>
              <w:end w:w="50" w:type="dxa"/>
            </w:tcMar>
            <w:shd w:fill="17375E"/>
          </w:tcPr>
          <w:p>
            <w:r>
              <w:rPr>
                <w:rFonts w:ascii="Aptos" w:hAnsi="Aptos"/>
                <w:b/>
                <w:color w:val="FFFFFF"/>
                <w:sz w:val="13"/>
              </w:rPr>
              <w:t>Qty</w:t>
            </w:r>
          </w:p>
        </w:tc>
        <w:tc>
          <w:tcPr>
            <w:tcW w:type="dxa" w:w="841248"/>
            <w:vAlign w:val="center"/>
            <w:tcMar>
              <w:top w:w="50" w:type="dxa"/>
              <w:start w:w="50" w:type="dxa"/>
              <w:bottom w:w="50" w:type="dxa"/>
              <w:end w:w="50" w:type="dxa"/>
            </w:tcMar>
            <w:shd w:fill="17375E"/>
          </w:tcPr>
          <w:p>
            <w:r>
              <w:rPr>
                <w:rFonts w:ascii="Aptos" w:hAnsi="Aptos"/>
                <w:b/>
                <w:color w:val="FFFFFF"/>
                <w:sz w:val="13"/>
              </w:rPr>
              <w:t>Unit cost</w:t>
            </w:r>
          </w:p>
        </w:tc>
        <w:tc>
          <w:tcPr>
            <w:tcW w:type="dxa" w:w="841248"/>
            <w:vAlign w:val="center"/>
            <w:tcMar>
              <w:top w:w="50" w:type="dxa"/>
              <w:start w:w="50" w:type="dxa"/>
              <w:bottom w:w="50" w:type="dxa"/>
              <w:end w:w="50" w:type="dxa"/>
            </w:tcMar>
            <w:shd w:fill="17375E"/>
          </w:tcPr>
          <w:p>
            <w:r>
              <w:rPr>
                <w:rFonts w:ascii="Aptos" w:hAnsi="Aptos"/>
                <w:b/>
                <w:color w:val="FFFFFF"/>
                <w:sz w:val="13"/>
              </w:rPr>
              <w:t>Year 1</w:t>
            </w:r>
          </w:p>
        </w:tc>
        <w:tc>
          <w:tcPr>
            <w:tcW w:type="dxa" w:w="841248"/>
            <w:vAlign w:val="center"/>
            <w:tcMar>
              <w:top w:w="50" w:type="dxa"/>
              <w:start w:w="50" w:type="dxa"/>
              <w:bottom w:w="50" w:type="dxa"/>
              <w:end w:w="50" w:type="dxa"/>
            </w:tcMar>
            <w:shd w:fill="17375E"/>
          </w:tcPr>
          <w:p>
            <w:r>
              <w:rPr>
                <w:rFonts w:ascii="Aptos" w:hAnsi="Aptos"/>
                <w:b/>
                <w:color w:val="FFFFFF"/>
                <w:sz w:val="13"/>
              </w:rPr>
              <w:t>Year 2</w:t>
            </w:r>
          </w:p>
        </w:tc>
        <w:tc>
          <w:tcPr>
            <w:tcW w:type="dxa" w:w="841248"/>
            <w:vAlign w:val="center"/>
            <w:tcMar>
              <w:top w:w="50" w:type="dxa"/>
              <w:start w:w="50" w:type="dxa"/>
              <w:bottom w:w="50" w:type="dxa"/>
              <w:end w:w="50" w:type="dxa"/>
            </w:tcMar>
            <w:shd w:fill="17375E"/>
          </w:tcPr>
          <w:p>
            <w:r>
              <w:rPr>
                <w:rFonts w:ascii="Aptos" w:hAnsi="Aptos"/>
                <w:b/>
                <w:color w:val="FFFFFF"/>
                <w:sz w:val="13"/>
              </w:rPr>
              <w:t>Year 3</w:t>
            </w:r>
          </w:p>
        </w:tc>
        <w:tc>
          <w:tcPr>
            <w:tcW w:type="dxa" w:w="914400"/>
            <w:vAlign w:val="center"/>
            <w:tcMar>
              <w:top w:w="50" w:type="dxa"/>
              <w:start w:w="50" w:type="dxa"/>
              <w:bottom w:w="50" w:type="dxa"/>
              <w:end w:w="50" w:type="dxa"/>
            </w:tcMar>
            <w:shd w:fill="17375E"/>
          </w:tcPr>
          <w:p>
            <w:r>
              <w:rPr>
                <w:rFonts w:ascii="Aptos" w:hAnsi="Aptos"/>
                <w:b/>
                <w:color w:val="FFFFFF"/>
                <w:sz w:val="13"/>
              </w:rPr>
              <w:t>Total KES</w:t>
            </w:r>
          </w:p>
        </w:tc>
      </w:tr>
      <w:tr>
        <w:trPr>
          <w:cantSplit/>
          <w:cantSplit/>
        </w:trPr>
        <w:tc>
          <w:tcPr>
            <w:tcW w:type="dxa" w:w="14544"/>
            <w:gridSpan w:val="9"/>
            <w:vAlign w:val="center"/>
            <w:tcMar>
              <w:top w:w="50" w:type="dxa"/>
              <w:start w:w="50" w:type="dxa"/>
              <w:bottom w:w="50" w:type="dxa"/>
              <w:end w:w="50" w:type="dxa"/>
            </w:tcMar>
            <w:shd w:fill="D9EAF7"/>
          </w:tcPr>
          <w:p>
            <w:r>
              <w:rPr>
                <w:rFonts w:ascii="Aptos" w:hAnsi="Aptos"/>
                <w:sz w:val="13"/>
              </w:rPr>
              <w:t>1. Inception, baseline, market validation and regulatory planning (Direct cost; linked to Component 1)</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1.1</w:t>
            </w:r>
          </w:p>
        </w:tc>
        <w:tc>
          <w:tcPr>
            <w:tcW w:type="dxa" w:w="2971800"/>
            <w:vAlign w:val="center"/>
            <w:tcMar>
              <w:top w:w="50" w:type="dxa"/>
              <w:start w:w="50" w:type="dxa"/>
              <w:bottom w:w="50" w:type="dxa"/>
              <w:end w:w="50" w:type="dxa"/>
            </w:tcMar>
            <w:shd w:fill="F7F9FB"/>
          </w:tcPr>
          <w:p>
            <w:r>
              <w:rPr>
                <w:rFonts w:ascii="Aptos" w:hAnsi="Aptos"/>
                <w:sz w:val="13"/>
              </w:rPr>
              <w:t>Inception workshops, consortium agreements and stakeholder launch</w:t>
            </w:r>
          </w:p>
        </w:tc>
        <w:tc>
          <w:tcPr>
            <w:tcW w:type="dxa" w:w="603504"/>
            <w:vAlign w:val="center"/>
            <w:tcMar>
              <w:top w:w="50" w:type="dxa"/>
              <w:start w:w="50" w:type="dxa"/>
              <w:bottom w:w="50" w:type="dxa"/>
              <w:end w:w="50" w:type="dxa"/>
            </w:tcMar>
            <w:shd w:fill="F7F9FB"/>
          </w:tcPr>
          <w:p>
            <w:r>
              <w:rPr>
                <w:rFonts w:ascii="Aptos" w:hAnsi="Aptos"/>
                <w:sz w:val="13"/>
              </w:rPr>
              <w:t>event</w:t>
            </w:r>
          </w:p>
        </w:tc>
        <w:tc>
          <w:tcPr>
            <w:tcW w:type="dxa" w:w="438912"/>
            <w:vAlign w:val="center"/>
            <w:tcMar>
              <w:top w:w="50" w:type="dxa"/>
              <w:start w:w="50" w:type="dxa"/>
              <w:bottom w:w="50" w:type="dxa"/>
              <w:end w:w="50" w:type="dxa"/>
            </w:tcMar>
            <w:shd w:fill="F7F9FB"/>
          </w:tcPr>
          <w:p>
            <w:r>
              <w:rPr>
                <w:rFonts w:ascii="Aptos" w:hAnsi="Aptos"/>
                <w:sz w:val="13"/>
              </w:rPr>
              <w:t>2</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914400"/>
            <w:vAlign w:val="center"/>
            <w:tcMar>
              <w:top w:w="50" w:type="dxa"/>
              <w:start w:w="50" w:type="dxa"/>
              <w:bottom w:w="50" w:type="dxa"/>
              <w:end w:w="50" w:type="dxa"/>
            </w:tcMar>
            <w:shd w:fill="F7F9FB"/>
          </w:tcPr>
          <w:p>
            <w:r>
              <w:rPr>
                <w:rFonts w:ascii="Aptos" w:hAnsi="Aptos"/>
                <w:sz w:val="13"/>
              </w:rPr>
              <w:t>1,000,000</w:t>
            </w:r>
          </w:p>
        </w:tc>
      </w:tr>
      <w:tr>
        <w:trPr>
          <w:cantSplit/>
          <w:cantSplit/>
        </w:trPr>
        <w:tc>
          <w:tcPr>
            <w:tcW w:type="dxa" w:w="438912"/>
            <w:vAlign w:val="center"/>
            <w:tcMar>
              <w:top w:w="50" w:type="dxa"/>
              <w:start w:w="50" w:type="dxa"/>
              <w:bottom w:w="50" w:type="dxa"/>
              <w:end w:w="50" w:type="dxa"/>
            </w:tcMar>
          </w:tcPr>
          <w:p>
            <w:r>
              <w:rPr>
                <w:rFonts w:ascii="Aptos" w:hAnsi="Aptos"/>
                <w:sz w:val="13"/>
              </w:rPr>
              <w:t>1.2</w:t>
            </w:r>
          </w:p>
        </w:tc>
        <w:tc>
          <w:tcPr>
            <w:tcW w:type="dxa" w:w="2971800"/>
            <w:vAlign w:val="center"/>
            <w:tcMar>
              <w:top w:w="50" w:type="dxa"/>
              <w:start w:w="50" w:type="dxa"/>
              <w:bottom w:w="50" w:type="dxa"/>
              <w:end w:w="50" w:type="dxa"/>
            </w:tcMar>
          </w:tcPr>
          <w:p>
            <w:r>
              <w:rPr>
                <w:rFonts w:ascii="Aptos" w:hAnsi="Aptos"/>
                <w:sz w:val="13"/>
              </w:rPr>
              <w:t>Baseline household, farmer, cooperative and SME survey</w:t>
            </w:r>
          </w:p>
        </w:tc>
        <w:tc>
          <w:tcPr>
            <w:tcW w:type="dxa" w:w="603504"/>
            <w:vAlign w:val="center"/>
            <w:tcMar>
              <w:top w:w="50" w:type="dxa"/>
              <w:start w:w="50" w:type="dxa"/>
              <w:bottom w:w="50" w:type="dxa"/>
              <w:end w:w="50" w:type="dxa"/>
            </w:tcMar>
          </w:tcPr>
          <w:p>
            <w:r>
              <w:rPr>
                <w:rFonts w:ascii="Aptos" w:hAnsi="Aptos"/>
                <w:sz w:val="13"/>
              </w:rPr>
              <w:t>study</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2,000,000</w:t>
            </w:r>
          </w:p>
        </w:tc>
        <w:tc>
          <w:tcPr>
            <w:tcW w:type="dxa" w:w="841248"/>
            <w:vAlign w:val="center"/>
            <w:tcMar>
              <w:top w:w="50" w:type="dxa"/>
              <w:start w:w="50" w:type="dxa"/>
              <w:bottom w:w="50" w:type="dxa"/>
              <w:end w:w="50" w:type="dxa"/>
            </w:tcMar>
          </w:tcPr>
          <w:p>
            <w:r>
              <w:rPr>
                <w:rFonts w:ascii="Aptos" w:hAnsi="Aptos"/>
                <w:sz w:val="13"/>
              </w:rPr>
              <w:t>2,000,000</w:t>
            </w:r>
          </w:p>
        </w:tc>
        <w:tc>
          <w:tcPr>
            <w:tcW w:type="dxa" w:w="841248"/>
            <w:vAlign w:val="center"/>
            <w:tcMar>
              <w:top w:w="50" w:type="dxa"/>
              <w:start w:w="50" w:type="dxa"/>
              <w:bottom w:w="50" w:type="dxa"/>
              <w:end w:w="50" w:type="dxa"/>
            </w:tcMar>
          </w:tcPr>
          <w:p>
            <w:r>
              <w:rPr>
                <w:rFonts w:ascii="Aptos" w:hAnsi="Aptos"/>
                <w:sz w:val="13"/>
              </w:rPr>
              <w:t>0</w:t>
            </w:r>
          </w:p>
        </w:tc>
        <w:tc>
          <w:tcPr>
            <w:tcW w:type="dxa" w:w="841248"/>
            <w:vAlign w:val="center"/>
            <w:tcMar>
              <w:top w:w="50" w:type="dxa"/>
              <w:start w:w="50" w:type="dxa"/>
              <w:bottom w:w="50" w:type="dxa"/>
              <w:end w:w="50" w:type="dxa"/>
            </w:tcMar>
          </w:tcPr>
          <w:p>
            <w:r>
              <w:rPr>
                <w:rFonts w:ascii="Aptos" w:hAnsi="Aptos"/>
                <w:sz w:val="13"/>
              </w:rPr>
              <w:t>0</w:t>
            </w:r>
          </w:p>
        </w:tc>
        <w:tc>
          <w:tcPr>
            <w:tcW w:type="dxa" w:w="914400"/>
            <w:vAlign w:val="center"/>
            <w:tcMar>
              <w:top w:w="50" w:type="dxa"/>
              <w:start w:w="50" w:type="dxa"/>
              <w:bottom w:w="50" w:type="dxa"/>
              <w:end w:w="50" w:type="dxa"/>
            </w:tcMar>
          </w:tcPr>
          <w:p>
            <w:r>
              <w:rPr>
                <w:rFonts w:ascii="Aptos" w:hAnsi="Aptos"/>
                <w:sz w:val="13"/>
              </w:rPr>
              <w:t>2,000,000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1.3</w:t>
            </w:r>
          </w:p>
        </w:tc>
        <w:tc>
          <w:tcPr>
            <w:tcW w:type="dxa" w:w="2971800"/>
            <w:vAlign w:val="center"/>
            <w:tcMar>
              <w:top w:w="50" w:type="dxa"/>
              <w:start w:w="50" w:type="dxa"/>
              <w:bottom w:w="50" w:type="dxa"/>
              <w:end w:w="50" w:type="dxa"/>
            </w:tcMar>
            <w:shd w:fill="F7F9FB"/>
          </w:tcPr>
          <w:p>
            <w:r>
              <w:rPr>
                <w:rFonts w:ascii="Aptos" w:hAnsi="Aptos"/>
                <w:sz w:val="13"/>
              </w:rPr>
              <w:t>Kenyan, Dutch and wider EU market validation and buyer study</w:t>
            </w:r>
          </w:p>
        </w:tc>
        <w:tc>
          <w:tcPr>
            <w:tcW w:type="dxa" w:w="603504"/>
            <w:vAlign w:val="center"/>
            <w:tcMar>
              <w:top w:w="50" w:type="dxa"/>
              <w:start w:w="50" w:type="dxa"/>
              <w:bottom w:w="50" w:type="dxa"/>
              <w:end w:w="50" w:type="dxa"/>
            </w:tcMar>
            <w:shd w:fill="F7F9FB"/>
          </w:tcPr>
          <w:p>
            <w:r>
              <w:rPr>
                <w:rFonts w:ascii="Aptos" w:hAnsi="Aptos"/>
                <w:sz w:val="13"/>
              </w:rPr>
              <w:t>study</w:t>
            </w:r>
          </w:p>
        </w:tc>
        <w:tc>
          <w:tcPr>
            <w:tcW w:type="dxa" w:w="438912"/>
            <w:vAlign w:val="center"/>
            <w:tcMar>
              <w:top w:w="50" w:type="dxa"/>
              <w:start w:w="50" w:type="dxa"/>
              <w:bottom w:w="50" w:type="dxa"/>
              <w:end w:w="50" w:type="dxa"/>
            </w:tcMar>
            <w:shd w:fill="F7F9FB"/>
          </w:tcPr>
          <w:p>
            <w:r>
              <w:rPr>
                <w:rFonts w:ascii="Aptos" w:hAnsi="Aptos"/>
                <w:sz w:val="13"/>
              </w:rPr>
              <w:t>1</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914400"/>
            <w:vAlign w:val="center"/>
            <w:tcMar>
              <w:top w:w="50" w:type="dxa"/>
              <w:start w:w="50" w:type="dxa"/>
              <w:bottom w:w="50" w:type="dxa"/>
              <w:end w:w="50" w:type="dxa"/>
            </w:tcMar>
            <w:shd w:fill="F7F9FB"/>
          </w:tcPr>
          <w:p>
            <w:r>
              <w:rPr>
                <w:rFonts w:ascii="Aptos" w:hAnsi="Aptos"/>
                <w:sz w:val="13"/>
              </w:rPr>
              <w:t>1,500,000</w:t>
            </w:r>
          </w:p>
        </w:tc>
      </w:tr>
      <w:tr>
        <w:trPr>
          <w:cantSplit/>
          <w:cantSplit/>
        </w:trPr>
        <w:tc>
          <w:tcPr>
            <w:tcW w:type="dxa" w:w="438912"/>
            <w:vAlign w:val="center"/>
            <w:tcMar>
              <w:top w:w="50" w:type="dxa"/>
              <w:start w:w="50" w:type="dxa"/>
              <w:bottom w:w="50" w:type="dxa"/>
              <w:end w:w="50" w:type="dxa"/>
            </w:tcMar>
          </w:tcPr>
          <w:p>
            <w:r>
              <w:rPr>
                <w:rFonts w:ascii="Aptos" w:hAnsi="Aptos"/>
                <w:sz w:val="13"/>
              </w:rPr>
              <w:t>1.4</w:t>
            </w:r>
          </w:p>
        </w:tc>
        <w:tc>
          <w:tcPr>
            <w:tcW w:type="dxa" w:w="2971800"/>
            <w:vAlign w:val="center"/>
            <w:tcMar>
              <w:top w:w="50" w:type="dxa"/>
              <w:start w:w="50" w:type="dxa"/>
              <w:bottom w:w="50" w:type="dxa"/>
              <w:end w:w="50" w:type="dxa"/>
            </w:tcMar>
          </w:tcPr>
          <w:p>
            <w:r>
              <w:rPr>
                <w:rFonts w:ascii="Aptos" w:hAnsi="Aptos"/>
                <w:sz w:val="13"/>
              </w:rPr>
              <w:t>Regulatory, environmental, energy and licensing roadmap</w:t>
            </w:r>
          </w:p>
        </w:tc>
        <w:tc>
          <w:tcPr>
            <w:tcW w:type="dxa" w:w="603504"/>
            <w:vAlign w:val="center"/>
            <w:tcMar>
              <w:top w:w="50" w:type="dxa"/>
              <w:start w:w="50" w:type="dxa"/>
              <w:bottom w:w="50" w:type="dxa"/>
              <w:end w:w="50" w:type="dxa"/>
            </w:tcMar>
          </w:tcPr>
          <w:p>
            <w:r>
              <w:rPr>
                <w:rFonts w:ascii="Aptos" w:hAnsi="Aptos"/>
                <w:sz w:val="13"/>
              </w:rPr>
              <w:t>assignment</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1,200,000</w:t>
            </w:r>
          </w:p>
        </w:tc>
        <w:tc>
          <w:tcPr>
            <w:tcW w:type="dxa" w:w="841248"/>
            <w:vAlign w:val="center"/>
            <w:tcMar>
              <w:top w:w="50" w:type="dxa"/>
              <w:start w:w="50" w:type="dxa"/>
              <w:bottom w:w="50" w:type="dxa"/>
              <w:end w:w="50" w:type="dxa"/>
            </w:tcMar>
          </w:tcPr>
          <w:p>
            <w:r>
              <w:rPr>
                <w:rFonts w:ascii="Aptos" w:hAnsi="Aptos"/>
                <w:sz w:val="13"/>
              </w:rPr>
              <w:t>1,200,000</w:t>
            </w:r>
          </w:p>
        </w:tc>
        <w:tc>
          <w:tcPr>
            <w:tcW w:type="dxa" w:w="841248"/>
            <w:vAlign w:val="center"/>
            <w:tcMar>
              <w:top w:w="50" w:type="dxa"/>
              <w:start w:w="50" w:type="dxa"/>
              <w:bottom w:w="50" w:type="dxa"/>
              <w:end w:w="50" w:type="dxa"/>
            </w:tcMar>
          </w:tcPr>
          <w:p>
            <w:r>
              <w:rPr>
                <w:rFonts w:ascii="Aptos" w:hAnsi="Aptos"/>
                <w:sz w:val="13"/>
              </w:rPr>
              <w:t>0</w:t>
            </w:r>
          </w:p>
        </w:tc>
        <w:tc>
          <w:tcPr>
            <w:tcW w:type="dxa" w:w="841248"/>
            <w:vAlign w:val="center"/>
            <w:tcMar>
              <w:top w:w="50" w:type="dxa"/>
              <w:start w:w="50" w:type="dxa"/>
              <w:bottom w:w="50" w:type="dxa"/>
              <w:end w:w="50" w:type="dxa"/>
            </w:tcMar>
          </w:tcPr>
          <w:p>
            <w:r>
              <w:rPr>
                <w:rFonts w:ascii="Aptos" w:hAnsi="Aptos"/>
                <w:sz w:val="13"/>
              </w:rPr>
              <w:t>0</w:t>
            </w:r>
          </w:p>
        </w:tc>
        <w:tc>
          <w:tcPr>
            <w:tcW w:type="dxa" w:w="914400"/>
            <w:vAlign w:val="center"/>
            <w:tcMar>
              <w:top w:w="50" w:type="dxa"/>
              <w:start w:w="50" w:type="dxa"/>
              <w:bottom w:w="50" w:type="dxa"/>
              <w:end w:w="50" w:type="dxa"/>
            </w:tcMar>
          </w:tcPr>
          <w:p>
            <w:r>
              <w:rPr>
                <w:rFonts w:ascii="Aptos" w:hAnsi="Aptos"/>
                <w:sz w:val="13"/>
              </w:rPr>
              <w:t>1,200,000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1.5</w:t>
            </w:r>
          </w:p>
        </w:tc>
        <w:tc>
          <w:tcPr>
            <w:tcW w:type="dxa" w:w="2971800"/>
            <w:vAlign w:val="center"/>
            <w:tcMar>
              <w:top w:w="50" w:type="dxa"/>
              <w:start w:w="50" w:type="dxa"/>
              <w:bottom w:w="50" w:type="dxa"/>
              <w:end w:w="50" w:type="dxa"/>
            </w:tcMar>
            <w:shd w:fill="F7F9FB"/>
          </w:tcPr>
          <w:p>
            <w:r>
              <w:rPr>
                <w:rFonts w:ascii="Aptos" w:hAnsi="Aptos"/>
                <w:sz w:val="13"/>
              </w:rPr>
              <w:t>County crop-suitability, soil baseline and diversification assessment</w:t>
            </w:r>
          </w:p>
        </w:tc>
        <w:tc>
          <w:tcPr>
            <w:tcW w:type="dxa" w:w="603504"/>
            <w:vAlign w:val="center"/>
            <w:tcMar>
              <w:top w:w="50" w:type="dxa"/>
              <w:start w:w="50" w:type="dxa"/>
              <w:bottom w:w="50" w:type="dxa"/>
              <w:end w:w="50" w:type="dxa"/>
            </w:tcMar>
            <w:shd w:fill="F7F9FB"/>
          </w:tcPr>
          <w:p>
            <w:r>
              <w:rPr>
                <w:rFonts w:ascii="Aptos" w:hAnsi="Aptos"/>
                <w:sz w:val="13"/>
              </w:rPr>
              <w:t>assignment</w:t>
            </w:r>
          </w:p>
        </w:tc>
        <w:tc>
          <w:tcPr>
            <w:tcW w:type="dxa" w:w="438912"/>
            <w:vAlign w:val="center"/>
            <w:tcMar>
              <w:top w:w="50" w:type="dxa"/>
              <w:start w:w="50" w:type="dxa"/>
              <w:bottom w:w="50" w:type="dxa"/>
              <w:end w:w="50" w:type="dxa"/>
            </w:tcMar>
            <w:shd w:fill="F7F9FB"/>
          </w:tcPr>
          <w:p>
            <w:r>
              <w:rPr>
                <w:rFonts w:ascii="Aptos" w:hAnsi="Aptos"/>
                <w:sz w:val="13"/>
              </w:rPr>
              <w:t>1</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914400"/>
            <w:vAlign w:val="center"/>
            <w:tcMar>
              <w:top w:w="50" w:type="dxa"/>
              <w:start w:w="50" w:type="dxa"/>
              <w:bottom w:w="50" w:type="dxa"/>
              <w:end w:w="50" w:type="dxa"/>
            </w:tcMar>
            <w:shd w:fill="F7F9FB"/>
          </w:tcPr>
          <w:p>
            <w:r>
              <w:rPr>
                <w:rFonts w:ascii="Aptos" w:hAnsi="Aptos"/>
                <w:sz w:val="13"/>
              </w:rPr>
              <w:t>1,500,000</w:t>
            </w:r>
          </w:p>
        </w:tc>
      </w:tr>
      <w:tr>
        <w:trPr>
          <w:cantSplit/>
          <w:cantSplit/>
        </w:trPr>
        <w:tc>
          <w:tcPr>
            <w:tcW w:type="dxa" w:w="438912"/>
            <w:vAlign w:val="center"/>
            <w:tcMar>
              <w:top w:w="50" w:type="dxa"/>
              <w:start w:w="50" w:type="dxa"/>
              <w:bottom w:w="50" w:type="dxa"/>
              <w:end w:w="50" w:type="dxa"/>
            </w:tcMar>
          </w:tcPr>
          <w:p>
            <w:r>
              <w:rPr>
                <w:rFonts w:ascii="Aptos" w:hAnsi="Aptos"/>
                <w:sz w:val="13"/>
              </w:rPr>
              <w:t>1.6</w:t>
            </w:r>
          </w:p>
        </w:tc>
        <w:tc>
          <w:tcPr>
            <w:tcW w:type="dxa" w:w="2971800"/>
            <w:vAlign w:val="center"/>
            <w:tcMar>
              <w:top w:w="50" w:type="dxa"/>
              <w:start w:w="50" w:type="dxa"/>
              <w:bottom w:w="50" w:type="dxa"/>
              <w:end w:w="50" w:type="dxa"/>
            </w:tcMar>
          </w:tcPr>
          <w:p>
            <w:r>
              <w:rPr>
                <w:rFonts w:ascii="Aptos" w:hAnsi="Aptos"/>
                <w:sz w:val="13"/>
              </w:rPr>
              <w:t>Programme operations, procurement, safeguarding, grants and M&amp;E manuals</w:t>
            </w:r>
          </w:p>
        </w:tc>
        <w:tc>
          <w:tcPr>
            <w:tcW w:type="dxa" w:w="603504"/>
            <w:vAlign w:val="center"/>
            <w:tcMar>
              <w:top w:w="50" w:type="dxa"/>
              <w:start w:w="50" w:type="dxa"/>
              <w:bottom w:w="50" w:type="dxa"/>
              <w:end w:w="50" w:type="dxa"/>
            </w:tcMar>
          </w:tcPr>
          <w:p>
            <w:r>
              <w:rPr>
                <w:rFonts w:ascii="Aptos" w:hAnsi="Aptos"/>
                <w:sz w:val="13"/>
              </w:rPr>
              <w:t>package</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800,000</w:t>
            </w:r>
          </w:p>
        </w:tc>
        <w:tc>
          <w:tcPr>
            <w:tcW w:type="dxa" w:w="841248"/>
            <w:vAlign w:val="center"/>
            <w:tcMar>
              <w:top w:w="50" w:type="dxa"/>
              <w:start w:w="50" w:type="dxa"/>
              <w:bottom w:w="50" w:type="dxa"/>
              <w:end w:w="50" w:type="dxa"/>
            </w:tcMar>
          </w:tcPr>
          <w:p>
            <w:r>
              <w:rPr>
                <w:rFonts w:ascii="Aptos" w:hAnsi="Aptos"/>
                <w:sz w:val="13"/>
              </w:rPr>
              <w:t>800,000</w:t>
            </w:r>
          </w:p>
        </w:tc>
        <w:tc>
          <w:tcPr>
            <w:tcW w:type="dxa" w:w="841248"/>
            <w:vAlign w:val="center"/>
            <w:tcMar>
              <w:top w:w="50" w:type="dxa"/>
              <w:start w:w="50" w:type="dxa"/>
              <w:bottom w:w="50" w:type="dxa"/>
              <w:end w:w="50" w:type="dxa"/>
            </w:tcMar>
          </w:tcPr>
          <w:p>
            <w:r>
              <w:rPr>
                <w:rFonts w:ascii="Aptos" w:hAnsi="Aptos"/>
                <w:sz w:val="13"/>
              </w:rPr>
              <w:t>0</w:t>
            </w:r>
          </w:p>
        </w:tc>
        <w:tc>
          <w:tcPr>
            <w:tcW w:type="dxa" w:w="841248"/>
            <w:vAlign w:val="center"/>
            <w:tcMar>
              <w:top w:w="50" w:type="dxa"/>
              <w:start w:w="50" w:type="dxa"/>
              <w:bottom w:w="50" w:type="dxa"/>
              <w:end w:w="50" w:type="dxa"/>
            </w:tcMar>
          </w:tcPr>
          <w:p>
            <w:r>
              <w:rPr>
                <w:rFonts w:ascii="Aptos" w:hAnsi="Aptos"/>
                <w:sz w:val="13"/>
              </w:rPr>
              <w:t>0</w:t>
            </w:r>
          </w:p>
        </w:tc>
        <w:tc>
          <w:tcPr>
            <w:tcW w:type="dxa" w:w="914400"/>
            <w:vAlign w:val="center"/>
            <w:tcMar>
              <w:top w:w="50" w:type="dxa"/>
              <w:start w:w="50" w:type="dxa"/>
              <w:bottom w:w="50" w:type="dxa"/>
              <w:end w:w="50" w:type="dxa"/>
            </w:tcMar>
          </w:tcPr>
          <w:p>
            <w:r>
              <w:rPr>
                <w:rFonts w:ascii="Aptos" w:hAnsi="Aptos"/>
                <w:sz w:val="13"/>
              </w:rPr>
              <w:t>800,000</w:t>
            </w:r>
          </w:p>
        </w:tc>
      </w:tr>
      <w:tr>
        <w:trPr>
          <w:cantSplit/>
          <w:cantSplit/>
        </w:trPr>
        <w:tc>
          <w:tcPr>
            <w:tcW w:type="dxa" w:w="8080"/>
            <w:gridSpan w:val="5"/>
            <w:vAlign w:val="center"/>
            <w:tcMar>
              <w:top w:w="50" w:type="dxa"/>
              <w:start w:w="50" w:type="dxa"/>
              <w:bottom w:w="50" w:type="dxa"/>
              <w:end w:w="50" w:type="dxa"/>
            </w:tcMar>
            <w:shd w:fill="F7F9FB"/>
          </w:tcPr>
          <w:p>
            <w:r>
              <w:rPr>
                <w:rFonts w:ascii="Aptos" w:hAnsi="Aptos"/>
                <w:sz w:val="13"/>
              </w:rPr>
              <w:t>Subtotal 1: Inception, baseline, market validation and regulatory planning</w:t>
            </w:r>
          </w:p>
        </w:tc>
        <w:tc>
          <w:tcPr>
            <w:tcW w:type="dxa" w:w="1616"/>
            <w:vAlign w:val="center"/>
            <w:tcMar>
              <w:top w:w="50" w:type="dxa"/>
              <w:start w:w="50" w:type="dxa"/>
              <w:bottom w:w="50" w:type="dxa"/>
              <w:end w:w="50" w:type="dxa"/>
            </w:tcMar>
            <w:shd w:fill="F7F9FB"/>
          </w:tcPr>
          <w:p>
            <w:r>
              <w:rPr>
                <w:rFonts w:ascii="Aptos" w:hAnsi="Aptos"/>
                <w:sz w:val="13"/>
              </w:rPr>
              <w:t>8,000,000</w:t>
            </w:r>
          </w:p>
        </w:tc>
        <w:tc>
          <w:tcPr>
            <w:tcW w:type="dxa" w:w="1616"/>
            <w:vAlign w:val="center"/>
            <w:tcMar>
              <w:top w:w="50" w:type="dxa"/>
              <w:start w:w="50" w:type="dxa"/>
              <w:bottom w:w="50" w:type="dxa"/>
              <w:end w:w="50" w:type="dxa"/>
            </w:tcMar>
            <w:shd w:fill="F7F9FB"/>
          </w:tcPr>
          <w:p>
            <w:r>
              <w:rPr>
                <w:rFonts w:ascii="Aptos" w:hAnsi="Aptos"/>
                <w:sz w:val="13"/>
              </w:rPr>
              <w:t>0</w:t>
            </w:r>
          </w:p>
        </w:tc>
        <w:tc>
          <w:tcPr>
            <w:tcW w:type="dxa" w:w="1616"/>
            <w:vAlign w:val="center"/>
            <w:tcMar>
              <w:top w:w="50" w:type="dxa"/>
              <w:start w:w="50" w:type="dxa"/>
              <w:bottom w:w="50" w:type="dxa"/>
              <w:end w:w="50" w:type="dxa"/>
            </w:tcMar>
            <w:shd w:fill="F7F9FB"/>
          </w:tcPr>
          <w:p>
            <w:r>
              <w:rPr>
                <w:rFonts w:ascii="Aptos" w:hAnsi="Aptos"/>
                <w:sz w:val="13"/>
              </w:rPr>
              <w:t>0</w:t>
            </w:r>
          </w:p>
        </w:tc>
        <w:tc>
          <w:tcPr>
            <w:tcW w:type="dxa" w:w="1616"/>
            <w:vAlign w:val="center"/>
            <w:tcMar>
              <w:top w:w="50" w:type="dxa"/>
              <w:start w:w="50" w:type="dxa"/>
              <w:bottom w:w="50" w:type="dxa"/>
              <w:end w:w="50" w:type="dxa"/>
            </w:tcMar>
            <w:shd w:fill="F7F9FB"/>
          </w:tcPr>
          <w:p>
            <w:r>
              <w:rPr>
                <w:rFonts w:ascii="Aptos" w:hAnsi="Aptos"/>
                <w:sz w:val="13"/>
              </w:rPr>
              <w:t>8,000,000</w:t>
            </w:r>
          </w:p>
        </w:tc>
      </w:tr>
      <w:tr>
        <w:trPr>
          <w:cantSplit/>
          <w:cantSplit/>
        </w:trPr>
        <w:tc>
          <w:tcPr>
            <w:tcW w:type="dxa" w:w="14544"/>
            <w:gridSpan w:val="9"/>
            <w:vAlign w:val="center"/>
            <w:tcMar>
              <w:top w:w="50" w:type="dxa"/>
              <w:start w:w="50" w:type="dxa"/>
              <w:bottom w:w="50" w:type="dxa"/>
              <w:end w:w="50" w:type="dxa"/>
            </w:tcMar>
            <w:shd w:fill="D9EAF7"/>
          </w:tcPr>
          <w:p>
            <w:r>
              <w:rPr>
                <w:rFonts w:ascii="Aptos" w:hAnsi="Aptos"/>
                <w:sz w:val="13"/>
              </w:rPr>
              <w:t>2. Community mobilisation, registration and cluster governance (Direct cost; linked to Component 2)</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2.1</w:t>
            </w:r>
          </w:p>
        </w:tc>
        <w:tc>
          <w:tcPr>
            <w:tcW w:type="dxa" w:w="2971800"/>
            <w:vAlign w:val="center"/>
            <w:tcMar>
              <w:top w:w="50" w:type="dxa"/>
              <w:start w:w="50" w:type="dxa"/>
              <w:bottom w:w="50" w:type="dxa"/>
              <w:end w:w="50" w:type="dxa"/>
            </w:tcMar>
            <w:shd w:fill="F7F9FB"/>
          </w:tcPr>
          <w:p>
            <w:r>
              <w:rPr>
                <w:rFonts w:ascii="Aptos" w:hAnsi="Aptos"/>
                <w:sz w:val="13"/>
              </w:rPr>
              <w:t>Community sensitisation, public information and enrolment forums</w:t>
            </w:r>
          </w:p>
        </w:tc>
        <w:tc>
          <w:tcPr>
            <w:tcW w:type="dxa" w:w="603504"/>
            <w:vAlign w:val="center"/>
            <w:tcMar>
              <w:top w:w="50" w:type="dxa"/>
              <w:start w:w="50" w:type="dxa"/>
              <w:bottom w:w="50" w:type="dxa"/>
              <w:end w:w="50" w:type="dxa"/>
            </w:tcMar>
            <w:shd w:fill="F7F9FB"/>
          </w:tcPr>
          <w:p>
            <w:r>
              <w:rPr>
                <w:rFonts w:ascii="Aptos" w:hAnsi="Aptos"/>
                <w:sz w:val="13"/>
              </w:rPr>
              <w:t>forum</w:t>
            </w:r>
          </w:p>
        </w:tc>
        <w:tc>
          <w:tcPr>
            <w:tcW w:type="dxa" w:w="438912"/>
            <w:vAlign w:val="center"/>
            <w:tcMar>
              <w:top w:w="50" w:type="dxa"/>
              <w:start w:w="50" w:type="dxa"/>
              <w:bottom w:w="50" w:type="dxa"/>
              <w:end w:w="50" w:type="dxa"/>
            </w:tcMar>
            <w:shd w:fill="F7F9FB"/>
          </w:tcPr>
          <w:p>
            <w:r>
              <w:rPr>
                <w:rFonts w:ascii="Aptos" w:hAnsi="Aptos"/>
                <w:sz w:val="13"/>
              </w:rPr>
              <w:t>40</w:t>
            </w:r>
          </w:p>
        </w:tc>
        <w:tc>
          <w:tcPr>
            <w:tcW w:type="dxa" w:w="841248"/>
            <w:vAlign w:val="center"/>
            <w:tcMar>
              <w:top w:w="50" w:type="dxa"/>
              <w:start w:w="50" w:type="dxa"/>
              <w:bottom w:w="50" w:type="dxa"/>
              <w:end w:w="50" w:type="dxa"/>
            </w:tcMar>
            <w:shd w:fill="F7F9FB"/>
          </w:tcPr>
          <w:p>
            <w:r>
              <w:rPr>
                <w:rFonts w:ascii="Aptos" w:hAnsi="Aptos"/>
                <w:sz w:val="13"/>
              </w:rPr>
              <w:t>100,000</w:t>
            </w:r>
          </w:p>
        </w:tc>
        <w:tc>
          <w:tcPr>
            <w:tcW w:type="dxa" w:w="841248"/>
            <w:vAlign w:val="center"/>
            <w:tcMar>
              <w:top w:w="50" w:type="dxa"/>
              <w:start w:w="50" w:type="dxa"/>
              <w:bottom w:w="50" w:type="dxa"/>
              <w:end w:w="50" w:type="dxa"/>
            </w:tcMar>
            <w:shd w:fill="F7F9FB"/>
          </w:tcPr>
          <w:p>
            <w:r>
              <w:rPr>
                <w:rFonts w:ascii="Aptos" w:hAnsi="Aptos"/>
                <w:sz w:val="13"/>
              </w:rPr>
              <w:t>2,000,000</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914400"/>
            <w:vAlign w:val="center"/>
            <w:tcMar>
              <w:top w:w="50" w:type="dxa"/>
              <w:start w:w="50" w:type="dxa"/>
              <w:bottom w:w="50" w:type="dxa"/>
              <w:end w:w="50" w:type="dxa"/>
            </w:tcMar>
            <w:shd w:fill="F7F9FB"/>
          </w:tcPr>
          <w:p>
            <w:r>
              <w:rPr>
                <w:rFonts w:ascii="Aptos" w:hAnsi="Aptos"/>
                <w:sz w:val="13"/>
              </w:rPr>
              <w:t>4,000,000</w:t>
            </w:r>
          </w:p>
        </w:tc>
      </w:tr>
      <w:tr>
        <w:trPr>
          <w:cantSplit/>
          <w:cantSplit/>
        </w:trPr>
        <w:tc>
          <w:tcPr>
            <w:tcW w:type="dxa" w:w="438912"/>
            <w:vAlign w:val="center"/>
            <w:tcMar>
              <w:top w:w="50" w:type="dxa"/>
              <w:start w:w="50" w:type="dxa"/>
              <w:bottom w:w="50" w:type="dxa"/>
              <w:end w:w="50" w:type="dxa"/>
            </w:tcMar>
          </w:tcPr>
          <w:p>
            <w:r>
              <w:rPr>
                <w:rFonts w:ascii="Aptos" w:hAnsi="Aptos"/>
                <w:sz w:val="13"/>
              </w:rPr>
              <w:t>2.2</w:t>
            </w:r>
          </w:p>
        </w:tc>
        <w:tc>
          <w:tcPr>
            <w:tcW w:type="dxa" w:w="2971800"/>
            <w:vAlign w:val="center"/>
            <w:tcMar>
              <w:top w:w="50" w:type="dxa"/>
              <w:start w:w="50" w:type="dxa"/>
              <w:bottom w:w="50" w:type="dxa"/>
              <w:end w:w="50" w:type="dxa"/>
            </w:tcMar>
          </w:tcPr>
          <w:p>
            <w:r>
              <w:rPr>
                <w:rFonts w:ascii="Aptos" w:hAnsi="Aptos"/>
                <w:sz w:val="13"/>
              </w:rPr>
              <w:t>Afribiz Consultancy Limited field registration and onboarding teams</w:t>
            </w:r>
          </w:p>
        </w:tc>
        <w:tc>
          <w:tcPr>
            <w:tcW w:type="dxa" w:w="603504"/>
            <w:vAlign w:val="center"/>
            <w:tcMar>
              <w:top w:w="50" w:type="dxa"/>
              <w:start w:w="50" w:type="dxa"/>
              <w:bottom w:w="50" w:type="dxa"/>
              <w:end w:w="50" w:type="dxa"/>
            </w:tcMar>
          </w:tcPr>
          <w:p>
            <w:r>
              <w:rPr>
                <w:rFonts w:ascii="Aptos" w:hAnsi="Aptos"/>
                <w:sz w:val="13"/>
              </w:rPr>
              <w:t>team-month</w:t>
            </w:r>
          </w:p>
        </w:tc>
        <w:tc>
          <w:tcPr>
            <w:tcW w:type="dxa" w:w="438912"/>
            <w:vAlign w:val="center"/>
            <w:tcMar>
              <w:top w:w="50" w:type="dxa"/>
              <w:start w:w="50" w:type="dxa"/>
              <w:bottom w:w="50" w:type="dxa"/>
              <w:end w:w="50" w:type="dxa"/>
            </w:tcMar>
          </w:tcPr>
          <w:p>
            <w:r>
              <w:rPr>
                <w:rFonts w:ascii="Aptos" w:hAnsi="Aptos"/>
                <w:sz w:val="13"/>
              </w:rPr>
              <w:t>48</w:t>
            </w:r>
          </w:p>
        </w:tc>
        <w:tc>
          <w:tcPr>
            <w:tcW w:type="dxa" w:w="841248"/>
            <w:vAlign w:val="center"/>
            <w:tcMar>
              <w:top w:w="50" w:type="dxa"/>
              <w:start w:w="50" w:type="dxa"/>
              <w:bottom w:w="50" w:type="dxa"/>
              <w:end w:w="50" w:type="dxa"/>
            </w:tcMar>
          </w:tcPr>
          <w:p>
            <w:r>
              <w:rPr>
                <w:rFonts w:ascii="Aptos" w:hAnsi="Aptos"/>
                <w:sz w:val="13"/>
              </w:rPr>
              <w:t>150,000</w:t>
            </w:r>
          </w:p>
        </w:tc>
        <w:tc>
          <w:tcPr>
            <w:tcW w:type="dxa" w:w="841248"/>
            <w:vAlign w:val="center"/>
            <w:tcMar>
              <w:top w:w="50" w:type="dxa"/>
              <w:start w:w="50" w:type="dxa"/>
              <w:bottom w:w="50" w:type="dxa"/>
              <w:end w:w="50" w:type="dxa"/>
            </w:tcMar>
          </w:tcPr>
          <w:p>
            <w:r>
              <w:rPr>
                <w:rFonts w:ascii="Aptos" w:hAnsi="Aptos"/>
                <w:sz w:val="13"/>
              </w:rPr>
              <w:t>3,000,000</w:t>
            </w:r>
          </w:p>
        </w:tc>
        <w:tc>
          <w:tcPr>
            <w:tcW w:type="dxa" w:w="841248"/>
            <w:vAlign w:val="center"/>
            <w:tcMar>
              <w:top w:w="50" w:type="dxa"/>
              <w:start w:w="50" w:type="dxa"/>
              <w:bottom w:w="50" w:type="dxa"/>
              <w:end w:w="50" w:type="dxa"/>
            </w:tcMar>
          </w:tcPr>
          <w:p>
            <w:r>
              <w:rPr>
                <w:rFonts w:ascii="Aptos" w:hAnsi="Aptos"/>
                <w:sz w:val="13"/>
              </w:rPr>
              <w:t>3,000,000</w:t>
            </w:r>
          </w:p>
        </w:tc>
        <w:tc>
          <w:tcPr>
            <w:tcW w:type="dxa" w:w="841248"/>
            <w:vAlign w:val="center"/>
            <w:tcMar>
              <w:top w:w="50" w:type="dxa"/>
              <w:start w:w="50" w:type="dxa"/>
              <w:bottom w:w="50" w:type="dxa"/>
              <w:end w:w="50" w:type="dxa"/>
            </w:tcMar>
          </w:tcPr>
          <w:p>
            <w:r>
              <w:rPr>
                <w:rFonts w:ascii="Aptos" w:hAnsi="Aptos"/>
                <w:sz w:val="13"/>
              </w:rPr>
              <w:t>1,200,000</w:t>
            </w:r>
          </w:p>
        </w:tc>
        <w:tc>
          <w:tcPr>
            <w:tcW w:type="dxa" w:w="914400"/>
            <w:vAlign w:val="center"/>
            <w:tcMar>
              <w:top w:w="50" w:type="dxa"/>
              <w:start w:w="50" w:type="dxa"/>
              <w:bottom w:w="50" w:type="dxa"/>
              <w:end w:w="50" w:type="dxa"/>
            </w:tcMar>
          </w:tcPr>
          <w:p>
            <w:r>
              <w:rPr>
                <w:rFonts w:ascii="Aptos" w:hAnsi="Aptos"/>
                <w:sz w:val="13"/>
              </w:rPr>
              <w:t>7,200,000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2.3</w:t>
            </w:r>
          </w:p>
        </w:tc>
        <w:tc>
          <w:tcPr>
            <w:tcW w:type="dxa" w:w="2971800"/>
            <w:vAlign w:val="center"/>
            <w:tcMar>
              <w:top w:w="50" w:type="dxa"/>
              <w:start w:w="50" w:type="dxa"/>
              <w:bottom w:w="50" w:type="dxa"/>
              <w:end w:w="50" w:type="dxa"/>
            </w:tcMar>
            <w:shd w:fill="F7F9FB"/>
          </w:tcPr>
          <w:p>
            <w:r>
              <w:rPr>
                <w:rFonts w:ascii="Aptos" w:hAnsi="Aptos"/>
                <w:sz w:val="13"/>
              </w:rPr>
              <w:t>Registration kits: tablets, power banks, GPS accessories and secure storage</w:t>
            </w:r>
          </w:p>
        </w:tc>
        <w:tc>
          <w:tcPr>
            <w:tcW w:type="dxa" w:w="603504"/>
            <w:vAlign w:val="center"/>
            <w:tcMar>
              <w:top w:w="50" w:type="dxa"/>
              <w:start w:w="50" w:type="dxa"/>
              <w:bottom w:w="50" w:type="dxa"/>
              <w:end w:w="50" w:type="dxa"/>
            </w:tcMar>
            <w:shd w:fill="F7F9FB"/>
          </w:tcPr>
          <w:p>
            <w:r>
              <w:rPr>
                <w:rFonts w:ascii="Aptos" w:hAnsi="Aptos"/>
                <w:sz w:val="13"/>
              </w:rPr>
              <w:t>kit</w:t>
            </w:r>
          </w:p>
        </w:tc>
        <w:tc>
          <w:tcPr>
            <w:tcW w:type="dxa" w:w="438912"/>
            <w:vAlign w:val="center"/>
            <w:tcMar>
              <w:top w:w="50" w:type="dxa"/>
              <w:start w:w="50" w:type="dxa"/>
              <w:bottom w:w="50" w:type="dxa"/>
              <w:end w:w="50" w:type="dxa"/>
            </w:tcMar>
            <w:shd w:fill="F7F9FB"/>
          </w:tcPr>
          <w:p>
            <w:r>
              <w:rPr>
                <w:rFonts w:ascii="Aptos" w:hAnsi="Aptos"/>
                <w:sz w:val="13"/>
              </w:rPr>
              <w:t>20</w:t>
            </w:r>
          </w:p>
        </w:tc>
        <w:tc>
          <w:tcPr>
            <w:tcW w:type="dxa" w:w="841248"/>
            <w:vAlign w:val="center"/>
            <w:tcMar>
              <w:top w:w="50" w:type="dxa"/>
              <w:start w:w="50" w:type="dxa"/>
              <w:bottom w:w="50" w:type="dxa"/>
              <w:end w:w="50" w:type="dxa"/>
            </w:tcMar>
            <w:shd w:fill="F7F9FB"/>
          </w:tcPr>
          <w:p>
            <w:r>
              <w:rPr>
                <w:rFonts w:ascii="Aptos" w:hAnsi="Aptos"/>
                <w:sz w:val="13"/>
              </w:rPr>
              <w:t>100,000</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914400"/>
            <w:vAlign w:val="center"/>
            <w:tcMar>
              <w:top w:w="50" w:type="dxa"/>
              <w:start w:w="50" w:type="dxa"/>
              <w:bottom w:w="50" w:type="dxa"/>
              <w:end w:w="50" w:type="dxa"/>
            </w:tcMar>
            <w:shd w:fill="F7F9FB"/>
          </w:tcPr>
          <w:p>
            <w:r>
              <w:rPr>
                <w:rFonts w:ascii="Aptos" w:hAnsi="Aptos"/>
                <w:sz w:val="13"/>
              </w:rPr>
              <w:t>2,000,000</w:t>
            </w:r>
          </w:p>
        </w:tc>
      </w:tr>
      <w:tr>
        <w:trPr>
          <w:cantSplit/>
          <w:cantSplit/>
        </w:trPr>
        <w:tc>
          <w:tcPr>
            <w:tcW w:type="dxa" w:w="438912"/>
            <w:vAlign w:val="center"/>
            <w:tcMar>
              <w:top w:w="50" w:type="dxa"/>
              <w:start w:w="50" w:type="dxa"/>
              <w:bottom w:w="50" w:type="dxa"/>
              <w:end w:w="50" w:type="dxa"/>
            </w:tcMar>
          </w:tcPr>
          <w:p>
            <w:r>
              <w:rPr>
                <w:rFonts w:ascii="Aptos" w:hAnsi="Aptos"/>
                <w:sz w:val="13"/>
              </w:rPr>
              <w:t>2.4</w:t>
            </w:r>
          </w:p>
        </w:tc>
        <w:tc>
          <w:tcPr>
            <w:tcW w:type="dxa" w:w="2971800"/>
            <w:vAlign w:val="center"/>
            <w:tcMar>
              <w:top w:w="50" w:type="dxa"/>
              <w:start w:w="50" w:type="dxa"/>
              <w:bottom w:w="50" w:type="dxa"/>
              <w:end w:w="50" w:type="dxa"/>
            </w:tcMar>
          </w:tcPr>
          <w:p>
            <w:r>
              <w:rPr>
                <w:rFonts w:ascii="Aptos" w:hAnsi="Aptos"/>
                <w:sz w:val="13"/>
              </w:rPr>
              <w:t>Cluster governance, legal documentation and operating charters</w:t>
            </w:r>
          </w:p>
        </w:tc>
        <w:tc>
          <w:tcPr>
            <w:tcW w:type="dxa" w:w="603504"/>
            <w:vAlign w:val="center"/>
            <w:tcMar>
              <w:top w:w="50" w:type="dxa"/>
              <w:start w:w="50" w:type="dxa"/>
              <w:bottom w:w="50" w:type="dxa"/>
              <w:end w:w="50" w:type="dxa"/>
            </w:tcMar>
          </w:tcPr>
          <w:p>
            <w:r>
              <w:rPr>
                <w:rFonts w:ascii="Aptos" w:hAnsi="Aptos"/>
                <w:sz w:val="13"/>
              </w:rPr>
              <w:t>cluster</w:t>
            </w:r>
          </w:p>
        </w:tc>
        <w:tc>
          <w:tcPr>
            <w:tcW w:type="dxa" w:w="438912"/>
            <w:vAlign w:val="center"/>
            <w:tcMar>
              <w:top w:w="50" w:type="dxa"/>
              <w:start w:w="50" w:type="dxa"/>
              <w:bottom w:w="50" w:type="dxa"/>
              <w:end w:w="50" w:type="dxa"/>
            </w:tcMar>
          </w:tcPr>
          <w:p>
            <w:r>
              <w:rPr>
                <w:rFonts w:ascii="Aptos" w:hAnsi="Aptos"/>
                <w:sz w:val="13"/>
              </w:rPr>
              <w:t>10</w:t>
            </w:r>
          </w:p>
        </w:tc>
        <w:tc>
          <w:tcPr>
            <w:tcW w:type="dxa" w:w="841248"/>
            <w:vAlign w:val="center"/>
            <w:tcMar>
              <w:top w:w="50" w:type="dxa"/>
              <w:start w:w="50" w:type="dxa"/>
              <w:bottom w:w="50" w:type="dxa"/>
              <w:end w:w="50" w:type="dxa"/>
            </w:tcMar>
          </w:tcPr>
          <w:p>
            <w:r>
              <w:rPr>
                <w:rFonts w:ascii="Aptos" w:hAnsi="Aptos"/>
                <w:sz w:val="13"/>
              </w:rPr>
              <w:t>150,000</w:t>
            </w:r>
          </w:p>
        </w:tc>
        <w:tc>
          <w:tcPr>
            <w:tcW w:type="dxa" w:w="841248"/>
            <w:vAlign w:val="center"/>
            <w:tcMar>
              <w:top w:w="50" w:type="dxa"/>
              <w:start w:w="50" w:type="dxa"/>
              <w:bottom w:w="50" w:type="dxa"/>
              <w:end w:w="50" w:type="dxa"/>
            </w:tcMar>
          </w:tcPr>
          <w:p>
            <w:r>
              <w:rPr>
                <w:rFonts w:ascii="Aptos" w:hAnsi="Aptos"/>
                <w:sz w:val="13"/>
              </w:rPr>
              <w:t>600,000</w:t>
            </w:r>
          </w:p>
        </w:tc>
        <w:tc>
          <w:tcPr>
            <w:tcW w:type="dxa" w:w="841248"/>
            <w:vAlign w:val="center"/>
            <w:tcMar>
              <w:top w:w="50" w:type="dxa"/>
              <w:start w:w="50" w:type="dxa"/>
              <w:bottom w:w="50" w:type="dxa"/>
              <w:end w:w="50" w:type="dxa"/>
            </w:tcMar>
          </w:tcPr>
          <w:p>
            <w:r>
              <w:rPr>
                <w:rFonts w:ascii="Aptos" w:hAnsi="Aptos"/>
                <w:sz w:val="13"/>
              </w:rPr>
              <w:t>700,000</w:t>
            </w:r>
          </w:p>
        </w:tc>
        <w:tc>
          <w:tcPr>
            <w:tcW w:type="dxa" w:w="841248"/>
            <w:vAlign w:val="center"/>
            <w:tcMar>
              <w:top w:w="50" w:type="dxa"/>
              <w:start w:w="50" w:type="dxa"/>
              <w:bottom w:w="50" w:type="dxa"/>
              <w:end w:w="50" w:type="dxa"/>
            </w:tcMar>
          </w:tcPr>
          <w:p>
            <w:r>
              <w:rPr>
                <w:rFonts w:ascii="Aptos" w:hAnsi="Aptos"/>
                <w:sz w:val="13"/>
              </w:rPr>
              <w:t>200,000</w:t>
            </w:r>
          </w:p>
        </w:tc>
        <w:tc>
          <w:tcPr>
            <w:tcW w:type="dxa" w:w="914400"/>
            <w:vAlign w:val="center"/>
            <w:tcMar>
              <w:top w:w="50" w:type="dxa"/>
              <w:start w:w="50" w:type="dxa"/>
              <w:bottom w:w="50" w:type="dxa"/>
              <w:end w:w="50" w:type="dxa"/>
            </w:tcMar>
          </w:tcPr>
          <w:p>
            <w:r>
              <w:rPr>
                <w:rFonts w:ascii="Aptos" w:hAnsi="Aptos"/>
                <w:sz w:val="13"/>
              </w:rPr>
              <w:t>1,500,000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2.5</w:t>
            </w:r>
          </w:p>
        </w:tc>
        <w:tc>
          <w:tcPr>
            <w:tcW w:type="dxa" w:w="2971800"/>
            <w:vAlign w:val="center"/>
            <w:tcMar>
              <w:top w:w="50" w:type="dxa"/>
              <w:start w:w="50" w:type="dxa"/>
              <w:bottom w:w="50" w:type="dxa"/>
              <w:end w:w="50" w:type="dxa"/>
            </w:tcMar>
            <w:shd w:fill="F7F9FB"/>
          </w:tcPr>
          <w:p>
            <w:r>
              <w:rPr>
                <w:rFonts w:ascii="Aptos" w:hAnsi="Aptos"/>
                <w:sz w:val="13"/>
              </w:rPr>
              <w:t>Governance, contracting, pricing and dispute-resolution training</w:t>
            </w:r>
          </w:p>
        </w:tc>
        <w:tc>
          <w:tcPr>
            <w:tcW w:type="dxa" w:w="603504"/>
            <w:vAlign w:val="center"/>
            <w:tcMar>
              <w:top w:w="50" w:type="dxa"/>
              <w:start w:w="50" w:type="dxa"/>
              <w:bottom w:w="50" w:type="dxa"/>
              <w:end w:w="50" w:type="dxa"/>
            </w:tcMar>
            <w:shd w:fill="F7F9FB"/>
          </w:tcPr>
          <w:p>
            <w:r>
              <w:rPr>
                <w:rFonts w:ascii="Aptos" w:hAnsi="Aptos"/>
                <w:sz w:val="13"/>
              </w:rPr>
              <w:t>session</w:t>
            </w:r>
          </w:p>
        </w:tc>
        <w:tc>
          <w:tcPr>
            <w:tcW w:type="dxa" w:w="438912"/>
            <w:vAlign w:val="center"/>
            <w:tcMar>
              <w:top w:w="50" w:type="dxa"/>
              <w:start w:w="50" w:type="dxa"/>
              <w:bottom w:w="50" w:type="dxa"/>
              <w:end w:w="50" w:type="dxa"/>
            </w:tcMar>
            <w:shd w:fill="F7F9FB"/>
          </w:tcPr>
          <w:p>
            <w:r>
              <w:rPr>
                <w:rFonts w:ascii="Aptos" w:hAnsi="Aptos"/>
                <w:sz w:val="13"/>
              </w:rPr>
              <w:t>10</w:t>
            </w:r>
          </w:p>
        </w:tc>
        <w:tc>
          <w:tcPr>
            <w:tcW w:type="dxa" w:w="841248"/>
            <w:vAlign w:val="center"/>
            <w:tcMar>
              <w:top w:w="50" w:type="dxa"/>
              <w:start w:w="50" w:type="dxa"/>
              <w:bottom w:w="50" w:type="dxa"/>
              <w:end w:w="50" w:type="dxa"/>
            </w:tcMar>
            <w:shd w:fill="F7F9FB"/>
          </w:tcPr>
          <w:p>
            <w:r>
              <w:rPr>
                <w:rFonts w:ascii="Aptos" w:hAnsi="Aptos"/>
                <w:sz w:val="13"/>
              </w:rPr>
              <w:t>130,000</w:t>
            </w:r>
          </w:p>
        </w:tc>
        <w:tc>
          <w:tcPr>
            <w:tcW w:type="dxa" w:w="841248"/>
            <w:vAlign w:val="center"/>
            <w:tcMar>
              <w:top w:w="50" w:type="dxa"/>
              <w:start w:w="50" w:type="dxa"/>
              <w:bottom w:w="50" w:type="dxa"/>
              <w:end w:w="50" w:type="dxa"/>
            </w:tcMar>
            <w:shd w:fill="F7F9FB"/>
          </w:tcPr>
          <w:p>
            <w:r>
              <w:rPr>
                <w:rFonts w:ascii="Aptos" w:hAnsi="Aptos"/>
                <w:sz w:val="13"/>
              </w:rPr>
              <w:t>400,000</w:t>
            </w:r>
          </w:p>
        </w:tc>
        <w:tc>
          <w:tcPr>
            <w:tcW w:type="dxa" w:w="841248"/>
            <w:vAlign w:val="center"/>
            <w:tcMar>
              <w:top w:w="50" w:type="dxa"/>
              <w:start w:w="50" w:type="dxa"/>
              <w:bottom w:w="50" w:type="dxa"/>
              <w:end w:w="50" w:type="dxa"/>
            </w:tcMar>
            <w:shd w:fill="F7F9FB"/>
          </w:tcPr>
          <w:p>
            <w:r>
              <w:rPr>
                <w:rFonts w:ascii="Aptos" w:hAnsi="Aptos"/>
                <w:sz w:val="13"/>
              </w:rPr>
              <w:t>800,000</w:t>
            </w:r>
          </w:p>
        </w:tc>
        <w:tc>
          <w:tcPr>
            <w:tcW w:type="dxa" w:w="841248"/>
            <w:vAlign w:val="center"/>
            <w:tcMar>
              <w:top w:w="50" w:type="dxa"/>
              <w:start w:w="50" w:type="dxa"/>
              <w:bottom w:w="50" w:type="dxa"/>
              <w:end w:w="50" w:type="dxa"/>
            </w:tcMar>
            <w:shd w:fill="F7F9FB"/>
          </w:tcPr>
          <w:p>
            <w:r>
              <w:rPr>
                <w:rFonts w:ascii="Aptos" w:hAnsi="Aptos"/>
                <w:sz w:val="13"/>
              </w:rPr>
              <w:t>100,000</w:t>
            </w:r>
          </w:p>
        </w:tc>
        <w:tc>
          <w:tcPr>
            <w:tcW w:type="dxa" w:w="914400"/>
            <w:vAlign w:val="center"/>
            <w:tcMar>
              <w:top w:w="50" w:type="dxa"/>
              <w:start w:w="50" w:type="dxa"/>
              <w:bottom w:w="50" w:type="dxa"/>
              <w:end w:w="50" w:type="dxa"/>
            </w:tcMar>
            <w:shd w:fill="F7F9FB"/>
          </w:tcPr>
          <w:p>
            <w:r>
              <w:rPr>
                <w:rFonts w:ascii="Aptos" w:hAnsi="Aptos"/>
                <w:sz w:val="13"/>
              </w:rPr>
              <w:t>1,300,000</w:t>
            </w:r>
          </w:p>
        </w:tc>
      </w:tr>
      <w:tr>
        <w:trPr>
          <w:cantSplit/>
          <w:cantSplit/>
        </w:trPr>
        <w:tc>
          <w:tcPr>
            <w:tcW w:type="dxa" w:w="8080"/>
            <w:gridSpan w:val="5"/>
            <w:vAlign w:val="center"/>
            <w:tcMar>
              <w:top w:w="50" w:type="dxa"/>
              <w:start w:w="50" w:type="dxa"/>
              <w:bottom w:w="50" w:type="dxa"/>
              <w:end w:w="50" w:type="dxa"/>
            </w:tcMar>
            <w:shd w:fill="EDF3F8"/>
          </w:tcPr>
          <w:p>
            <w:r>
              <w:rPr>
                <w:rFonts w:ascii="Aptos" w:hAnsi="Aptos"/>
                <w:sz w:val="13"/>
              </w:rPr>
              <w:t>Subtotal 2: Community mobilisation, registration and cluster governance</w:t>
            </w:r>
          </w:p>
        </w:tc>
        <w:tc>
          <w:tcPr>
            <w:tcW w:type="dxa" w:w="1616"/>
            <w:vAlign w:val="center"/>
            <w:tcMar>
              <w:top w:w="50" w:type="dxa"/>
              <w:start w:w="50" w:type="dxa"/>
              <w:bottom w:w="50" w:type="dxa"/>
              <w:end w:w="50" w:type="dxa"/>
            </w:tcMar>
            <w:shd w:fill="EDF3F8"/>
          </w:tcPr>
          <w:p>
            <w:r>
              <w:rPr>
                <w:rFonts w:ascii="Aptos" w:hAnsi="Aptos"/>
                <w:sz w:val="13"/>
              </w:rPr>
              <w:t>7,500,000</w:t>
            </w:r>
          </w:p>
        </w:tc>
        <w:tc>
          <w:tcPr>
            <w:tcW w:type="dxa" w:w="1616"/>
            <w:vAlign w:val="center"/>
            <w:tcMar>
              <w:top w:w="50" w:type="dxa"/>
              <w:start w:w="50" w:type="dxa"/>
              <w:bottom w:w="50" w:type="dxa"/>
              <w:end w:w="50" w:type="dxa"/>
            </w:tcMar>
            <w:shd w:fill="EDF3F8"/>
          </w:tcPr>
          <w:p>
            <w:r>
              <w:rPr>
                <w:rFonts w:ascii="Aptos" w:hAnsi="Aptos"/>
                <w:sz w:val="13"/>
              </w:rPr>
              <w:t>6,500,000</w:t>
            </w:r>
          </w:p>
        </w:tc>
        <w:tc>
          <w:tcPr>
            <w:tcW w:type="dxa" w:w="1616"/>
            <w:vAlign w:val="center"/>
            <w:tcMar>
              <w:top w:w="50" w:type="dxa"/>
              <w:start w:w="50" w:type="dxa"/>
              <w:bottom w:w="50" w:type="dxa"/>
              <w:end w:w="50" w:type="dxa"/>
            </w:tcMar>
            <w:shd w:fill="EDF3F8"/>
          </w:tcPr>
          <w:p>
            <w:r>
              <w:rPr>
                <w:rFonts w:ascii="Aptos" w:hAnsi="Aptos"/>
                <w:sz w:val="13"/>
              </w:rPr>
              <w:t>2,000,000</w:t>
            </w:r>
          </w:p>
        </w:tc>
        <w:tc>
          <w:tcPr>
            <w:tcW w:type="dxa" w:w="1616"/>
            <w:vAlign w:val="center"/>
            <w:tcMar>
              <w:top w:w="50" w:type="dxa"/>
              <w:start w:w="50" w:type="dxa"/>
              <w:bottom w:w="50" w:type="dxa"/>
              <w:end w:w="50" w:type="dxa"/>
            </w:tcMar>
            <w:shd w:fill="EDF3F8"/>
          </w:tcPr>
          <w:p>
            <w:r>
              <w:rPr>
                <w:rFonts w:ascii="Aptos" w:hAnsi="Aptos"/>
                <w:sz w:val="13"/>
              </w:rPr>
              <w:t>16,000,000</w:t>
            </w:r>
          </w:p>
        </w:tc>
      </w:tr>
      <w:tr>
        <w:trPr>
          <w:cantSplit/>
          <w:cantSplit/>
        </w:trPr>
        <w:tc>
          <w:tcPr>
            <w:tcW w:type="dxa" w:w="14544"/>
            <w:gridSpan w:val="9"/>
            <w:vAlign w:val="center"/>
            <w:tcMar>
              <w:top w:w="50" w:type="dxa"/>
              <w:start w:w="50" w:type="dxa"/>
              <w:bottom w:w="50" w:type="dxa"/>
              <w:end w:w="50" w:type="dxa"/>
            </w:tcMar>
            <w:shd w:fill="F7F9FB"/>
          </w:tcPr>
          <w:p>
            <w:r>
              <w:rPr>
                <w:rFonts w:ascii="Aptos" w:hAnsi="Aptos"/>
                <w:sz w:val="13"/>
              </w:rPr>
              <w:t>3. Agronomy, diversification, food security and extension (Direct cost; linked to Component 3)</w:t>
            </w:r>
          </w:p>
        </w:tc>
      </w:tr>
      <w:tr>
        <w:trPr>
          <w:cantSplit/>
          <w:cantSplit/>
        </w:trPr>
        <w:tc>
          <w:tcPr>
            <w:tcW w:type="dxa" w:w="438912"/>
            <w:vAlign w:val="center"/>
            <w:tcMar>
              <w:top w:w="50" w:type="dxa"/>
              <w:start w:w="50" w:type="dxa"/>
              <w:bottom w:w="50" w:type="dxa"/>
              <w:end w:w="50" w:type="dxa"/>
            </w:tcMar>
          </w:tcPr>
          <w:p>
            <w:r>
              <w:rPr>
                <w:rFonts w:ascii="Aptos" w:hAnsi="Aptos"/>
                <w:sz w:val="13"/>
              </w:rPr>
              <w:t>3.1</w:t>
            </w:r>
          </w:p>
        </w:tc>
        <w:tc>
          <w:tcPr>
            <w:tcW w:type="dxa" w:w="2971800"/>
            <w:vAlign w:val="center"/>
            <w:tcMar>
              <w:top w:w="50" w:type="dxa"/>
              <w:start w:w="50" w:type="dxa"/>
              <w:bottom w:w="50" w:type="dxa"/>
              <w:end w:w="50" w:type="dxa"/>
            </w:tcMar>
          </w:tcPr>
          <w:p>
            <w:r>
              <w:rPr>
                <w:rFonts w:ascii="Aptos" w:hAnsi="Aptos"/>
                <w:sz w:val="13"/>
              </w:rPr>
              <w:t>Agronomy and diversification lead: cotton, oilseed, fruit and vegetables</w:t>
            </w:r>
          </w:p>
        </w:tc>
        <w:tc>
          <w:tcPr>
            <w:tcW w:type="dxa" w:w="603504"/>
            <w:vAlign w:val="center"/>
            <w:tcMar>
              <w:top w:w="50" w:type="dxa"/>
              <w:start w:w="50" w:type="dxa"/>
              <w:bottom w:w="50" w:type="dxa"/>
              <w:end w:w="50" w:type="dxa"/>
            </w:tcMar>
          </w:tcPr>
          <w:p>
            <w:r>
              <w:rPr>
                <w:rFonts w:ascii="Aptos" w:hAnsi="Aptos"/>
                <w:sz w:val="13"/>
              </w:rPr>
              <w:t>month</w:t>
            </w:r>
          </w:p>
        </w:tc>
        <w:tc>
          <w:tcPr>
            <w:tcW w:type="dxa" w:w="438912"/>
            <w:vAlign w:val="center"/>
            <w:tcMar>
              <w:top w:w="50" w:type="dxa"/>
              <w:start w:w="50" w:type="dxa"/>
              <w:bottom w:w="50" w:type="dxa"/>
              <w:end w:w="50" w:type="dxa"/>
            </w:tcMar>
          </w:tcPr>
          <w:p>
            <w:r>
              <w:rPr>
                <w:rFonts w:ascii="Aptos" w:hAnsi="Aptos"/>
                <w:sz w:val="13"/>
              </w:rPr>
              <w:t>36</w:t>
            </w:r>
          </w:p>
        </w:tc>
        <w:tc>
          <w:tcPr>
            <w:tcW w:type="dxa" w:w="841248"/>
            <w:vAlign w:val="center"/>
            <w:tcMar>
              <w:top w:w="50" w:type="dxa"/>
              <w:start w:w="50" w:type="dxa"/>
              <w:bottom w:w="50" w:type="dxa"/>
              <w:end w:w="50" w:type="dxa"/>
            </w:tcMar>
          </w:tcPr>
          <w:p>
            <w:r>
              <w:rPr>
                <w:rFonts w:ascii="Aptos" w:hAnsi="Aptos"/>
                <w:sz w:val="13"/>
              </w:rPr>
              <w:t>200,000</w:t>
            </w:r>
          </w:p>
        </w:tc>
        <w:tc>
          <w:tcPr>
            <w:tcW w:type="dxa" w:w="841248"/>
            <w:vAlign w:val="center"/>
            <w:tcMar>
              <w:top w:w="50" w:type="dxa"/>
              <w:start w:w="50" w:type="dxa"/>
              <w:bottom w:w="50" w:type="dxa"/>
              <w:end w:w="50" w:type="dxa"/>
            </w:tcMar>
          </w:tcPr>
          <w:p>
            <w:r>
              <w:rPr>
                <w:rFonts w:ascii="Aptos" w:hAnsi="Aptos"/>
                <w:sz w:val="13"/>
              </w:rPr>
              <w:t>1,800,000</w:t>
            </w:r>
          </w:p>
        </w:tc>
        <w:tc>
          <w:tcPr>
            <w:tcW w:type="dxa" w:w="841248"/>
            <w:vAlign w:val="center"/>
            <w:tcMar>
              <w:top w:w="50" w:type="dxa"/>
              <w:start w:w="50" w:type="dxa"/>
              <w:bottom w:w="50" w:type="dxa"/>
              <w:end w:w="50" w:type="dxa"/>
            </w:tcMar>
          </w:tcPr>
          <w:p>
            <w:r>
              <w:rPr>
                <w:rFonts w:ascii="Aptos" w:hAnsi="Aptos"/>
                <w:sz w:val="13"/>
              </w:rPr>
              <w:t>2,400,000</w:t>
            </w:r>
          </w:p>
        </w:tc>
        <w:tc>
          <w:tcPr>
            <w:tcW w:type="dxa" w:w="841248"/>
            <w:vAlign w:val="center"/>
            <w:tcMar>
              <w:top w:w="50" w:type="dxa"/>
              <w:start w:w="50" w:type="dxa"/>
              <w:bottom w:w="50" w:type="dxa"/>
              <w:end w:w="50" w:type="dxa"/>
            </w:tcMar>
          </w:tcPr>
          <w:p>
            <w:r>
              <w:rPr>
                <w:rFonts w:ascii="Aptos" w:hAnsi="Aptos"/>
                <w:sz w:val="13"/>
              </w:rPr>
              <w:t>3,000,000</w:t>
            </w:r>
          </w:p>
        </w:tc>
        <w:tc>
          <w:tcPr>
            <w:tcW w:type="dxa" w:w="914400"/>
            <w:vAlign w:val="center"/>
            <w:tcMar>
              <w:top w:w="50" w:type="dxa"/>
              <w:start w:w="50" w:type="dxa"/>
              <w:bottom w:w="50" w:type="dxa"/>
              <w:end w:w="50" w:type="dxa"/>
            </w:tcMar>
          </w:tcPr>
          <w:p>
            <w:r>
              <w:rPr>
                <w:rFonts w:ascii="Aptos" w:hAnsi="Aptos"/>
                <w:sz w:val="13"/>
              </w:rPr>
              <w:t>7,200,000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3.2</w:t>
            </w:r>
          </w:p>
        </w:tc>
        <w:tc>
          <w:tcPr>
            <w:tcW w:type="dxa" w:w="2971800"/>
            <w:vAlign w:val="center"/>
            <w:tcMar>
              <w:top w:w="50" w:type="dxa"/>
              <w:start w:w="50" w:type="dxa"/>
              <w:bottom w:w="50" w:type="dxa"/>
              <w:end w:w="50" w:type="dxa"/>
            </w:tcMar>
            <w:shd w:fill="F7F9FB"/>
          </w:tcPr>
          <w:p>
            <w:r>
              <w:rPr>
                <w:rFonts w:ascii="Aptos" w:hAnsi="Aptos"/>
                <w:sz w:val="13"/>
              </w:rPr>
              <w:t>County and community extension officers</w:t>
            </w:r>
          </w:p>
        </w:tc>
        <w:tc>
          <w:tcPr>
            <w:tcW w:type="dxa" w:w="603504"/>
            <w:vAlign w:val="center"/>
            <w:tcMar>
              <w:top w:w="50" w:type="dxa"/>
              <w:start w:w="50" w:type="dxa"/>
              <w:bottom w:w="50" w:type="dxa"/>
              <w:end w:w="50" w:type="dxa"/>
            </w:tcMar>
            <w:shd w:fill="F7F9FB"/>
          </w:tcPr>
          <w:p>
            <w:r>
              <w:rPr>
                <w:rFonts w:ascii="Aptos" w:hAnsi="Aptos"/>
                <w:sz w:val="13"/>
              </w:rPr>
              <w:t>officer-month</w:t>
            </w:r>
          </w:p>
        </w:tc>
        <w:tc>
          <w:tcPr>
            <w:tcW w:type="dxa" w:w="438912"/>
            <w:vAlign w:val="center"/>
            <w:tcMar>
              <w:top w:w="50" w:type="dxa"/>
              <w:start w:w="50" w:type="dxa"/>
              <w:bottom w:w="50" w:type="dxa"/>
              <w:end w:w="50" w:type="dxa"/>
            </w:tcMar>
            <w:shd w:fill="F7F9FB"/>
          </w:tcPr>
          <w:p>
            <w:r>
              <w:rPr>
                <w:rFonts w:ascii="Aptos" w:hAnsi="Aptos"/>
                <w:sz w:val="13"/>
              </w:rPr>
              <w:t>72</w:t>
            </w:r>
          </w:p>
        </w:tc>
        <w:tc>
          <w:tcPr>
            <w:tcW w:type="dxa" w:w="841248"/>
            <w:vAlign w:val="center"/>
            <w:tcMar>
              <w:top w:w="50" w:type="dxa"/>
              <w:start w:w="50" w:type="dxa"/>
              <w:bottom w:w="50" w:type="dxa"/>
              <w:end w:w="50" w:type="dxa"/>
            </w:tcMar>
            <w:shd w:fill="F7F9FB"/>
          </w:tcPr>
          <w:p>
            <w:r>
              <w:rPr>
                <w:rFonts w:ascii="Aptos" w:hAnsi="Aptos"/>
                <w:sz w:val="13"/>
              </w:rPr>
              <w:t>80,000</w:t>
            </w:r>
          </w:p>
        </w:tc>
        <w:tc>
          <w:tcPr>
            <w:tcW w:type="dxa" w:w="841248"/>
            <w:vAlign w:val="center"/>
            <w:tcMar>
              <w:top w:w="50" w:type="dxa"/>
              <w:start w:w="50" w:type="dxa"/>
              <w:bottom w:w="50" w:type="dxa"/>
              <w:end w:w="50" w:type="dxa"/>
            </w:tcMar>
            <w:shd w:fill="F7F9FB"/>
          </w:tcPr>
          <w:p>
            <w:r>
              <w:rPr>
                <w:rFonts w:ascii="Aptos" w:hAnsi="Aptos"/>
                <w:sz w:val="13"/>
              </w:rPr>
              <w:t>1,600,000</w:t>
            </w:r>
          </w:p>
        </w:tc>
        <w:tc>
          <w:tcPr>
            <w:tcW w:type="dxa" w:w="841248"/>
            <w:vAlign w:val="center"/>
            <w:tcMar>
              <w:top w:w="50" w:type="dxa"/>
              <w:start w:w="50" w:type="dxa"/>
              <w:bottom w:w="50" w:type="dxa"/>
              <w:end w:w="50" w:type="dxa"/>
            </w:tcMar>
            <w:shd w:fill="F7F9FB"/>
          </w:tcPr>
          <w:p>
            <w:r>
              <w:rPr>
                <w:rFonts w:ascii="Aptos" w:hAnsi="Aptos"/>
                <w:sz w:val="13"/>
              </w:rPr>
              <w:t>1,920,000</w:t>
            </w:r>
          </w:p>
        </w:tc>
        <w:tc>
          <w:tcPr>
            <w:tcW w:type="dxa" w:w="841248"/>
            <w:vAlign w:val="center"/>
            <w:tcMar>
              <w:top w:w="50" w:type="dxa"/>
              <w:start w:w="50" w:type="dxa"/>
              <w:bottom w:w="50" w:type="dxa"/>
              <w:end w:w="50" w:type="dxa"/>
            </w:tcMar>
            <w:shd w:fill="F7F9FB"/>
          </w:tcPr>
          <w:p>
            <w:r>
              <w:rPr>
                <w:rFonts w:ascii="Aptos" w:hAnsi="Aptos"/>
                <w:sz w:val="13"/>
              </w:rPr>
              <w:t>2,240,000</w:t>
            </w:r>
          </w:p>
        </w:tc>
        <w:tc>
          <w:tcPr>
            <w:tcW w:type="dxa" w:w="914400"/>
            <w:vAlign w:val="center"/>
            <w:tcMar>
              <w:top w:w="50" w:type="dxa"/>
              <w:start w:w="50" w:type="dxa"/>
              <w:bottom w:w="50" w:type="dxa"/>
              <w:end w:w="50" w:type="dxa"/>
            </w:tcMar>
            <w:shd w:fill="F7F9FB"/>
          </w:tcPr>
          <w:p>
            <w:r>
              <w:rPr>
                <w:rFonts w:ascii="Aptos" w:hAnsi="Aptos"/>
                <w:sz w:val="13"/>
              </w:rPr>
              <w:t>5,760,000</w:t>
            </w:r>
          </w:p>
        </w:tc>
      </w:tr>
      <w:tr>
        <w:trPr>
          <w:cantSplit/>
          <w:cantSplit/>
        </w:trPr>
        <w:tc>
          <w:tcPr>
            <w:tcW w:type="dxa" w:w="438912"/>
            <w:vAlign w:val="center"/>
            <w:tcMar>
              <w:top w:w="50" w:type="dxa"/>
              <w:start w:w="50" w:type="dxa"/>
              <w:bottom w:w="50" w:type="dxa"/>
              <w:end w:w="50" w:type="dxa"/>
            </w:tcMar>
          </w:tcPr>
          <w:p>
            <w:r>
              <w:rPr>
                <w:rFonts w:ascii="Aptos" w:hAnsi="Aptos"/>
                <w:sz w:val="13"/>
              </w:rPr>
              <w:t>3.3</w:t>
            </w:r>
          </w:p>
        </w:tc>
        <w:tc>
          <w:tcPr>
            <w:tcW w:type="dxa" w:w="2971800"/>
            <w:vAlign w:val="center"/>
            <w:tcMar>
              <w:top w:w="50" w:type="dxa"/>
              <w:start w:w="50" w:type="dxa"/>
              <w:bottom w:w="50" w:type="dxa"/>
              <w:end w:w="50" w:type="dxa"/>
            </w:tcMar>
          </w:tcPr>
          <w:p>
            <w:r>
              <w:rPr>
                <w:rFonts w:ascii="Aptos" w:hAnsi="Aptos"/>
                <w:sz w:val="13"/>
              </w:rPr>
              <w:t>Demonstration plots, planting material, tools and soil amendments</w:t>
            </w:r>
          </w:p>
        </w:tc>
        <w:tc>
          <w:tcPr>
            <w:tcW w:type="dxa" w:w="603504"/>
            <w:vAlign w:val="center"/>
            <w:tcMar>
              <w:top w:w="50" w:type="dxa"/>
              <w:start w:w="50" w:type="dxa"/>
              <w:bottom w:w="50" w:type="dxa"/>
              <w:end w:w="50" w:type="dxa"/>
            </w:tcMar>
          </w:tcPr>
          <w:p>
            <w:r>
              <w:rPr>
                <w:rFonts w:ascii="Aptos" w:hAnsi="Aptos"/>
                <w:sz w:val="13"/>
              </w:rPr>
              <w:t>plot</w:t>
            </w:r>
          </w:p>
        </w:tc>
        <w:tc>
          <w:tcPr>
            <w:tcW w:type="dxa" w:w="438912"/>
            <w:vAlign w:val="center"/>
            <w:tcMar>
              <w:top w:w="50" w:type="dxa"/>
              <w:start w:w="50" w:type="dxa"/>
              <w:bottom w:w="50" w:type="dxa"/>
              <w:end w:w="50" w:type="dxa"/>
            </w:tcMar>
          </w:tcPr>
          <w:p>
            <w:r>
              <w:rPr>
                <w:rFonts w:ascii="Aptos" w:hAnsi="Aptos"/>
                <w:sz w:val="13"/>
              </w:rPr>
              <w:t>12</w:t>
            </w:r>
          </w:p>
        </w:tc>
        <w:tc>
          <w:tcPr>
            <w:tcW w:type="dxa" w:w="841248"/>
            <w:vAlign w:val="center"/>
            <w:tcMar>
              <w:top w:w="50" w:type="dxa"/>
              <w:start w:w="50" w:type="dxa"/>
              <w:bottom w:w="50" w:type="dxa"/>
              <w:end w:w="50" w:type="dxa"/>
            </w:tcMar>
          </w:tcPr>
          <w:p>
            <w:r>
              <w:rPr>
                <w:rFonts w:ascii="Aptos" w:hAnsi="Aptos"/>
                <w:sz w:val="13"/>
              </w:rPr>
              <w:t>200,000</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800,000</w:t>
            </w:r>
          </w:p>
        </w:tc>
        <w:tc>
          <w:tcPr>
            <w:tcW w:type="dxa" w:w="841248"/>
            <w:vAlign w:val="center"/>
            <w:tcMar>
              <w:top w:w="50" w:type="dxa"/>
              <w:start w:w="50" w:type="dxa"/>
              <w:bottom w:w="50" w:type="dxa"/>
              <w:end w:w="50" w:type="dxa"/>
            </w:tcMar>
          </w:tcPr>
          <w:p>
            <w:r>
              <w:rPr>
                <w:rFonts w:ascii="Aptos" w:hAnsi="Aptos"/>
                <w:sz w:val="13"/>
              </w:rPr>
              <w:t>600,000</w:t>
            </w:r>
          </w:p>
        </w:tc>
        <w:tc>
          <w:tcPr>
            <w:tcW w:type="dxa" w:w="914400"/>
            <w:vAlign w:val="center"/>
            <w:tcMar>
              <w:top w:w="50" w:type="dxa"/>
              <w:start w:w="50" w:type="dxa"/>
              <w:bottom w:w="50" w:type="dxa"/>
              <w:end w:w="50" w:type="dxa"/>
            </w:tcMar>
          </w:tcPr>
          <w:p>
            <w:r>
              <w:rPr>
                <w:rFonts w:ascii="Aptos" w:hAnsi="Aptos"/>
                <w:sz w:val="13"/>
              </w:rPr>
              <w:t>2,400,000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3.4</w:t>
            </w:r>
          </w:p>
        </w:tc>
        <w:tc>
          <w:tcPr>
            <w:tcW w:type="dxa" w:w="2971800"/>
            <w:vAlign w:val="center"/>
            <w:tcMar>
              <w:top w:w="50" w:type="dxa"/>
              <w:start w:w="50" w:type="dxa"/>
              <w:bottom w:w="50" w:type="dxa"/>
              <w:end w:w="50" w:type="dxa"/>
            </w:tcMar>
            <w:shd w:fill="F7F9FB"/>
          </w:tcPr>
          <w:p>
            <w:r>
              <w:rPr>
                <w:rFonts w:ascii="Aptos" w:hAnsi="Aptos"/>
                <w:sz w:val="13"/>
              </w:rPr>
              <w:t>Farmer training on regenerative agriculture, food production and safe inputs</w:t>
            </w:r>
          </w:p>
        </w:tc>
        <w:tc>
          <w:tcPr>
            <w:tcW w:type="dxa" w:w="603504"/>
            <w:vAlign w:val="center"/>
            <w:tcMar>
              <w:top w:w="50" w:type="dxa"/>
              <w:start w:w="50" w:type="dxa"/>
              <w:bottom w:w="50" w:type="dxa"/>
              <w:end w:w="50" w:type="dxa"/>
            </w:tcMar>
            <w:shd w:fill="F7F9FB"/>
          </w:tcPr>
          <w:p>
            <w:r>
              <w:rPr>
                <w:rFonts w:ascii="Aptos" w:hAnsi="Aptos"/>
                <w:sz w:val="13"/>
              </w:rPr>
              <w:t>session</w:t>
            </w:r>
          </w:p>
        </w:tc>
        <w:tc>
          <w:tcPr>
            <w:tcW w:type="dxa" w:w="438912"/>
            <w:vAlign w:val="center"/>
            <w:tcMar>
              <w:top w:w="50" w:type="dxa"/>
              <w:start w:w="50" w:type="dxa"/>
              <w:bottom w:w="50" w:type="dxa"/>
              <w:end w:w="50" w:type="dxa"/>
            </w:tcMar>
            <w:shd w:fill="F7F9FB"/>
          </w:tcPr>
          <w:p>
            <w:r>
              <w:rPr>
                <w:rFonts w:ascii="Aptos" w:hAnsi="Aptos"/>
                <w:sz w:val="13"/>
              </w:rPr>
              <w:t>24</w:t>
            </w:r>
          </w:p>
        </w:tc>
        <w:tc>
          <w:tcPr>
            <w:tcW w:type="dxa" w:w="841248"/>
            <w:vAlign w:val="center"/>
            <w:tcMar>
              <w:top w:w="50" w:type="dxa"/>
              <w:start w:w="50" w:type="dxa"/>
              <w:bottom w:w="50" w:type="dxa"/>
              <w:end w:w="50" w:type="dxa"/>
            </w:tcMar>
            <w:shd w:fill="F7F9FB"/>
          </w:tcPr>
          <w:p>
            <w:r>
              <w:rPr>
                <w:rFonts w:ascii="Aptos" w:hAnsi="Aptos"/>
                <w:sz w:val="13"/>
              </w:rPr>
              <w:t>80,000</w:t>
            </w:r>
          </w:p>
        </w:tc>
        <w:tc>
          <w:tcPr>
            <w:tcW w:type="dxa" w:w="841248"/>
            <w:vAlign w:val="center"/>
            <w:tcMar>
              <w:top w:w="50" w:type="dxa"/>
              <w:start w:w="50" w:type="dxa"/>
              <w:bottom w:w="50" w:type="dxa"/>
              <w:end w:w="50" w:type="dxa"/>
            </w:tcMar>
            <w:shd w:fill="F7F9FB"/>
          </w:tcPr>
          <w:p>
            <w:r>
              <w:rPr>
                <w:rFonts w:ascii="Aptos" w:hAnsi="Aptos"/>
                <w:sz w:val="13"/>
              </w:rPr>
              <w:t>400,000</w:t>
            </w:r>
          </w:p>
        </w:tc>
        <w:tc>
          <w:tcPr>
            <w:tcW w:type="dxa" w:w="841248"/>
            <w:vAlign w:val="center"/>
            <w:tcMar>
              <w:top w:w="50" w:type="dxa"/>
              <w:start w:w="50" w:type="dxa"/>
              <w:bottom w:w="50" w:type="dxa"/>
              <w:end w:w="50" w:type="dxa"/>
            </w:tcMar>
            <w:shd w:fill="F7F9FB"/>
          </w:tcPr>
          <w:p>
            <w:r>
              <w:rPr>
                <w:rFonts w:ascii="Aptos" w:hAnsi="Aptos"/>
                <w:sz w:val="13"/>
              </w:rPr>
              <w:t>640,000</w:t>
            </w:r>
          </w:p>
        </w:tc>
        <w:tc>
          <w:tcPr>
            <w:tcW w:type="dxa" w:w="841248"/>
            <w:vAlign w:val="center"/>
            <w:tcMar>
              <w:top w:w="50" w:type="dxa"/>
              <w:start w:w="50" w:type="dxa"/>
              <w:bottom w:w="50" w:type="dxa"/>
              <w:end w:w="50" w:type="dxa"/>
            </w:tcMar>
            <w:shd w:fill="F7F9FB"/>
          </w:tcPr>
          <w:p>
            <w:r>
              <w:rPr>
                <w:rFonts w:ascii="Aptos" w:hAnsi="Aptos"/>
                <w:sz w:val="13"/>
              </w:rPr>
              <w:t>880,000</w:t>
            </w:r>
          </w:p>
        </w:tc>
        <w:tc>
          <w:tcPr>
            <w:tcW w:type="dxa" w:w="914400"/>
            <w:vAlign w:val="center"/>
            <w:tcMar>
              <w:top w:w="50" w:type="dxa"/>
              <w:start w:w="50" w:type="dxa"/>
              <w:bottom w:w="50" w:type="dxa"/>
              <w:end w:w="50" w:type="dxa"/>
            </w:tcMar>
            <w:shd w:fill="F7F9FB"/>
          </w:tcPr>
          <w:p>
            <w:r>
              <w:rPr>
                <w:rFonts w:ascii="Aptos" w:hAnsi="Aptos"/>
                <w:sz w:val="13"/>
              </w:rPr>
              <w:t>1,920,000</w:t>
            </w:r>
          </w:p>
        </w:tc>
      </w:tr>
      <w:tr>
        <w:trPr>
          <w:cantSplit/>
          <w:cantSplit/>
        </w:trPr>
        <w:tc>
          <w:tcPr>
            <w:tcW w:type="dxa" w:w="438912"/>
            <w:vAlign w:val="center"/>
            <w:tcMar>
              <w:top w:w="50" w:type="dxa"/>
              <w:start w:w="50" w:type="dxa"/>
              <w:bottom w:w="50" w:type="dxa"/>
              <w:end w:w="50" w:type="dxa"/>
            </w:tcMar>
          </w:tcPr>
          <w:p>
            <w:r>
              <w:rPr>
                <w:rFonts w:ascii="Aptos" w:hAnsi="Aptos"/>
                <w:sz w:val="13"/>
              </w:rPr>
              <w:t>3.5</w:t>
            </w:r>
          </w:p>
        </w:tc>
        <w:tc>
          <w:tcPr>
            <w:tcW w:type="dxa" w:w="2971800"/>
            <w:vAlign w:val="center"/>
            <w:tcMar>
              <w:top w:w="50" w:type="dxa"/>
              <w:start w:w="50" w:type="dxa"/>
              <w:bottom w:w="50" w:type="dxa"/>
              <w:end w:w="50" w:type="dxa"/>
            </w:tcMar>
          </w:tcPr>
          <w:p>
            <w:r>
              <w:rPr>
                <w:rFonts w:ascii="Aptos" w:hAnsi="Aptos"/>
                <w:sz w:val="13"/>
              </w:rPr>
              <w:t>Soil, crop and adaptive intercropping analysis</w:t>
            </w:r>
          </w:p>
        </w:tc>
        <w:tc>
          <w:tcPr>
            <w:tcW w:type="dxa" w:w="603504"/>
            <w:vAlign w:val="center"/>
            <w:tcMar>
              <w:top w:w="50" w:type="dxa"/>
              <w:start w:w="50" w:type="dxa"/>
              <w:bottom w:w="50" w:type="dxa"/>
              <w:end w:w="50" w:type="dxa"/>
            </w:tcMar>
          </w:tcPr>
          <w:p>
            <w:r>
              <w:rPr>
                <w:rFonts w:ascii="Aptos" w:hAnsi="Aptos"/>
                <w:sz w:val="13"/>
              </w:rPr>
              <w:t>round</w:t>
            </w:r>
          </w:p>
        </w:tc>
        <w:tc>
          <w:tcPr>
            <w:tcW w:type="dxa" w:w="438912"/>
            <w:vAlign w:val="center"/>
            <w:tcMar>
              <w:top w:w="50" w:type="dxa"/>
              <w:start w:w="50" w:type="dxa"/>
              <w:bottom w:w="50" w:type="dxa"/>
              <w:end w:w="50" w:type="dxa"/>
            </w:tcMar>
          </w:tcPr>
          <w:p>
            <w:r>
              <w:rPr>
                <w:rFonts w:ascii="Aptos" w:hAnsi="Aptos"/>
                <w:sz w:val="13"/>
              </w:rPr>
              <w:t>12</w:t>
            </w:r>
          </w:p>
        </w:tc>
        <w:tc>
          <w:tcPr>
            <w:tcW w:type="dxa" w:w="841248"/>
            <w:vAlign w:val="center"/>
            <w:tcMar>
              <w:top w:w="50" w:type="dxa"/>
              <w:start w:w="50" w:type="dxa"/>
              <w:bottom w:w="50" w:type="dxa"/>
              <w:end w:w="50" w:type="dxa"/>
            </w:tcMar>
          </w:tcPr>
          <w:p>
            <w:r>
              <w:rPr>
                <w:rFonts w:ascii="Aptos" w:hAnsi="Aptos"/>
                <w:sz w:val="13"/>
              </w:rPr>
              <w:t>60,000</w:t>
            </w:r>
          </w:p>
        </w:tc>
        <w:tc>
          <w:tcPr>
            <w:tcW w:type="dxa" w:w="841248"/>
            <w:vAlign w:val="center"/>
            <w:tcMar>
              <w:top w:w="50" w:type="dxa"/>
              <w:start w:w="50" w:type="dxa"/>
              <w:bottom w:w="50" w:type="dxa"/>
              <w:end w:w="50" w:type="dxa"/>
            </w:tcMar>
          </w:tcPr>
          <w:p>
            <w:r>
              <w:rPr>
                <w:rFonts w:ascii="Aptos" w:hAnsi="Aptos"/>
                <w:sz w:val="13"/>
              </w:rPr>
              <w:t>200,000</w:t>
            </w:r>
          </w:p>
        </w:tc>
        <w:tc>
          <w:tcPr>
            <w:tcW w:type="dxa" w:w="841248"/>
            <w:vAlign w:val="center"/>
            <w:tcMar>
              <w:top w:w="50" w:type="dxa"/>
              <w:start w:w="50" w:type="dxa"/>
              <w:bottom w:w="50" w:type="dxa"/>
              <w:end w:w="50" w:type="dxa"/>
            </w:tcMar>
          </w:tcPr>
          <w:p>
            <w:r>
              <w:rPr>
                <w:rFonts w:ascii="Aptos" w:hAnsi="Aptos"/>
                <w:sz w:val="13"/>
              </w:rPr>
              <w:t>240,000</w:t>
            </w:r>
          </w:p>
        </w:tc>
        <w:tc>
          <w:tcPr>
            <w:tcW w:type="dxa" w:w="841248"/>
            <w:vAlign w:val="center"/>
            <w:tcMar>
              <w:top w:w="50" w:type="dxa"/>
              <w:start w:w="50" w:type="dxa"/>
              <w:bottom w:w="50" w:type="dxa"/>
              <w:end w:w="50" w:type="dxa"/>
            </w:tcMar>
          </w:tcPr>
          <w:p>
            <w:r>
              <w:rPr>
                <w:rFonts w:ascii="Aptos" w:hAnsi="Aptos"/>
                <w:sz w:val="13"/>
              </w:rPr>
              <w:t>280,000</w:t>
            </w:r>
          </w:p>
        </w:tc>
        <w:tc>
          <w:tcPr>
            <w:tcW w:type="dxa" w:w="914400"/>
            <w:vAlign w:val="center"/>
            <w:tcMar>
              <w:top w:w="50" w:type="dxa"/>
              <w:start w:w="50" w:type="dxa"/>
              <w:bottom w:w="50" w:type="dxa"/>
              <w:end w:w="50" w:type="dxa"/>
            </w:tcMar>
          </w:tcPr>
          <w:p>
            <w:r>
              <w:rPr>
                <w:rFonts w:ascii="Aptos" w:hAnsi="Aptos"/>
                <w:sz w:val="13"/>
              </w:rPr>
              <w:t>720,000</w:t>
            </w:r>
          </w:p>
        </w:tc>
      </w:tr>
      <w:tr>
        <w:trPr>
          <w:cantSplit/>
          <w:cantSplit/>
        </w:trPr>
        <w:tc>
          <w:tcPr>
            <w:tcW w:type="dxa" w:w="8080"/>
            <w:gridSpan w:val="5"/>
            <w:vAlign w:val="center"/>
            <w:tcMar>
              <w:top w:w="50" w:type="dxa"/>
              <w:start w:w="50" w:type="dxa"/>
              <w:bottom w:w="50" w:type="dxa"/>
              <w:end w:w="50" w:type="dxa"/>
            </w:tcMar>
            <w:shd w:fill="F7F9FB"/>
          </w:tcPr>
          <w:p>
            <w:r>
              <w:rPr>
                <w:rFonts w:ascii="Aptos" w:hAnsi="Aptos"/>
                <w:sz w:val="13"/>
              </w:rPr>
              <w:t>Subtotal 3: Agronomy, diversification, food security and extension</w:t>
            </w:r>
          </w:p>
        </w:tc>
        <w:tc>
          <w:tcPr>
            <w:tcW w:type="dxa" w:w="1616"/>
            <w:vAlign w:val="center"/>
            <w:tcMar>
              <w:top w:w="50" w:type="dxa"/>
              <w:start w:w="50" w:type="dxa"/>
              <w:bottom w:w="50" w:type="dxa"/>
              <w:end w:w="50" w:type="dxa"/>
            </w:tcMar>
            <w:shd w:fill="F7F9FB"/>
          </w:tcPr>
          <w:p>
            <w:r>
              <w:rPr>
                <w:rFonts w:ascii="Aptos" w:hAnsi="Aptos"/>
                <w:sz w:val="13"/>
              </w:rPr>
              <w:t>5,000,000</w:t>
            </w:r>
          </w:p>
        </w:tc>
        <w:tc>
          <w:tcPr>
            <w:tcW w:type="dxa" w:w="1616"/>
            <w:vAlign w:val="center"/>
            <w:tcMar>
              <w:top w:w="50" w:type="dxa"/>
              <w:start w:w="50" w:type="dxa"/>
              <w:bottom w:w="50" w:type="dxa"/>
              <w:end w:w="50" w:type="dxa"/>
            </w:tcMar>
            <w:shd w:fill="F7F9FB"/>
          </w:tcPr>
          <w:p>
            <w:r>
              <w:rPr>
                <w:rFonts w:ascii="Aptos" w:hAnsi="Aptos"/>
                <w:sz w:val="13"/>
              </w:rPr>
              <w:t>6,000,000</w:t>
            </w:r>
          </w:p>
        </w:tc>
        <w:tc>
          <w:tcPr>
            <w:tcW w:type="dxa" w:w="1616"/>
            <w:vAlign w:val="center"/>
            <w:tcMar>
              <w:top w:w="50" w:type="dxa"/>
              <w:start w:w="50" w:type="dxa"/>
              <w:bottom w:w="50" w:type="dxa"/>
              <w:end w:w="50" w:type="dxa"/>
            </w:tcMar>
            <w:shd w:fill="F7F9FB"/>
          </w:tcPr>
          <w:p>
            <w:r>
              <w:rPr>
                <w:rFonts w:ascii="Aptos" w:hAnsi="Aptos"/>
                <w:sz w:val="13"/>
              </w:rPr>
              <w:t>7,000,000</w:t>
            </w:r>
          </w:p>
        </w:tc>
        <w:tc>
          <w:tcPr>
            <w:tcW w:type="dxa" w:w="1616"/>
            <w:vAlign w:val="center"/>
            <w:tcMar>
              <w:top w:w="50" w:type="dxa"/>
              <w:start w:w="50" w:type="dxa"/>
              <w:bottom w:w="50" w:type="dxa"/>
              <w:end w:w="50" w:type="dxa"/>
            </w:tcMar>
            <w:shd w:fill="F7F9FB"/>
          </w:tcPr>
          <w:p>
            <w:r>
              <w:rPr>
                <w:rFonts w:ascii="Aptos" w:hAnsi="Aptos"/>
                <w:sz w:val="13"/>
              </w:rPr>
              <w:t>18,000,000</w:t>
            </w:r>
          </w:p>
        </w:tc>
      </w:tr>
      <w:tr>
        <w:trPr>
          <w:cantSplit/>
          <w:cantSplit/>
        </w:trPr>
        <w:tc>
          <w:tcPr>
            <w:tcW w:type="dxa" w:w="14544"/>
            <w:gridSpan w:val="9"/>
            <w:vAlign w:val="center"/>
            <w:tcMar>
              <w:top w:w="50" w:type="dxa"/>
              <w:start w:w="50" w:type="dxa"/>
              <w:bottom w:w="50" w:type="dxa"/>
              <w:end w:w="50" w:type="dxa"/>
            </w:tcMar>
            <w:shd w:fill="D9EAF7"/>
          </w:tcPr>
          <w:p>
            <w:r>
              <w:rPr>
                <w:rFonts w:ascii="Aptos" w:hAnsi="Aptos"/>
                <w:sz w:val="13"/>
              </w:rPr>
              <w:t>4. Standards, quality assurance, testing and certification readiness (Direct cost; linked to Component 4)</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4.1</w:t>
            </w:r>
          </w:p>
        </w:tc>
        <w:tc>
          <w:tcPr>
            <w:tcW w:type="dxa" w:w="2971800"/>
            <w:vAlign w:val="center"/>
            <w:tcMar>
              <w:top w:w="50" w:type="dxa"/>
              <w:start w:w="50" w:type="dxa"/>
              <w:bottom w:w="50" w:type="dxa"/>
              <w:end w:w="50" w:type="dxa"/>
            </w:tcMar>
            <w:shd w:fill="F7F9FB"/>
          </w:tcPr>
          <w:p>
            <w:r>
              <w:rPr>
                <w:rFonts w:ascii="Aptos" w:hAnsi="Aptos"/>
                <w:sz w:val="13"/>
              </w:rPr>
              <w:t>Quality-management and internal-control manuals for cotton and oilseed pathways</w:t>
            </w:r>
          </w:p>
        </w:tc>
        <w:tc>
          <w:tcPr>
            <w:tcW w:type="dxa" w:w="603504"/>
            <w:vAlign w:val="center"/>
            <w:tcMar>
              <w:top w:w="50" w:type="dxa"/>
              <w:start w:w="50" w:type="dxa"/>
              <w:bottom w:w="50" w:type="dxa"/>
              <w:end w:w="50" w:type="dxa"/>
            </w:tcMar>
            <w:shd w:fill="F7F9FB"/>
          </w:tcPr>
          <w:p>
            <w:r>
              <w:rPr>
                <w:rFonts w:ascii="Aptos" w:hAnsi="Aptos"/>
                <w:sz w:val="13"/>
              </w:rPr>
              <w:t>system</w:t>
            </w:r>
          </w:p>
        </w:tc>
        <w:tc>
          <w:tcPr>
            <w:tcW w:type="dxa" w:w="438912"/>
            <w:vAlign w:val="center"/>
            <w:tcMar>
              <w:top w:w="50" w:type="dxa"/>
              <w:start w:w="50" w:type="dxa"/>
              <w:bottom w:w="50" w:type="dxa"/>
              <w:end w:w="50" w:type="dxa"/>
            </w:tcMar>
            <w:shd w:fill="F7F9FB"/>
          </w:tcPr>
          <w:p>
            <w:r>
              <w:rPr>
                <w:rFonts w:ascii="Aptos" w:hAnsi="Aptos"/>
                <w:sz w:val="13"/>
              </w:rPr>
              <w:t>2</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914400"/>
            <w:vAlign w:val="center"/>
            <w:tcMar>
              <w:top w:w="50" w:type="dxa"/>
              <w:start w:w="50" w:type="dxa"/>
              <w:bottom w:w="50" w:type="dxa"/>
              <w:end w:w="50" w:type="dxa"/>
            </w:tcMar>
            <w:shd w:fill="F7F9FB"/>
          </w:tcPr>
          <w:p>
            <w:r>
              <w:rPr>
                <w:rFonts w:ascii="Aptos" w:hAnsi="Aptos"/>
                <w:sz w:val="13"/>
              </w:rPr>
              <w:t>2,000,000</w:t>
            </w:r>
          </w:p>
        </w:tc>
      </w:tr>
      <w:tr>
        <w:trPr>
          <w:cantSplit/>
          <w:cantSplit/>
        </w:trPr>
        <w:tc>
          <w:tcPr>
            <w:tcW w:type="dxa" w:w="438912"/>
            <w:vAlign w:val="center"/>
            <w:tcMar>
              <w:top w:w="50" w:type="dxa"/>
              <w:start w:w="50" w:type="dxa"/>
              <w:bottom w:w="50" w:type="dxa"/>
              <w:end w:w="50" w:type="dxa"/>
            </w:tcMar>
          </w:tcPr>
          <w:p>
            <w:r>
              <w:rPr>
                <w:rFonts w:ascii="Aptos" w:hAnsi="Aptos"/>
                <w:sz w:val="13"/>
              </w:rPr>
              <w:t>4.2</w:t>
            </w:r>
          </w:p>
        </w:tc>
        <w:tc>
          <w:tcPr>
            <w:tcW w:type="dxa" w:w="2971800"/>
            <w:vAlign w:val="center"/>
            <w:tcMar>
              <w:top w:w="50" w:type="dxa"/>
              <w:start w:w="50" w:type="dxa"/>
              <w:bottom w:w="50" w:type="dxa"/>
              <w:end w:w="50" w:type="dxa"/>
            </w:tcMar>
          </w:tcPr>
          <w:p>
            <w:r>
              <w:rPr>
                <w:rFonts w:ascii="Aptos" w:hAnsi="Aptos"/>
                <w:sz w:val="13"/>
              </w:rPr>
              <w:t>Certification-readiness technical assistance, audit cycles and corrective action</w:t>
            </w:r>
          </w:p>
        </w:tc>
        <w:tc>
          <w:tcPr>
            <w:tcW w:type="dxa" w:w="603504"/>
            <w:vAlign w:val="center"/>
            <w:tcMar>
              <w:top w:w="50" w:type="dxa"/>
              <w:start w:w="50" w:type="dxa"/>
              <w:bottom w:w="50" w:type="dxa"/>
              <w:end w:w="50" w:type="dxa"/>
            </w:tcMar>
          </w:tcPr>
          <w:p>
            <w:r>
              <w:rPr>
                <w:rFonts w:ascii="Aptos" w:hAnsi="Aptos"/>
                <w:sz w:val="13"/>
              </w:rPr>
              <w:t>cycle</w:t>
            </w:r>
          </w:p>
        </w:tc>
        <w:tc>
          <w:tcPr>
            <w:tcW w:type="dxa" w:w="438912"/>
            <w:vAlign w:val="center"/>
            <w:tcMar>
              <w:top w:w="50" w:type="dxa"/>
              <w:start w:w="50" w:type="dxa"/>
              <w:bottom w:w="50" w:type="dxa"/>
              <w:end w:w="50" w:type="dxa"/>
            </w:tcMar>
          </w:tcPr>
          <w:p>
            <w:r>
              <w:rPr>
                <w:rFonts w:ascii="Aptos" w:hAnsi="Aptos"/>
                <w:sz w:val="13"/>
              </w:rPr>
              <w:t>6</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2,500,000</w:t>
            </w:r>
          </w:p>
        </w:tc>
        <w:tc>
          <w:tcPr>
            <w:tcW w:type="dxa" w:w="841248"/>
            <w:vAlign w:val="center"/>
            <w:tcMar>
              <w:top w:w="50" w:type="dxa"/>
              <w:start w:w="50" w:type="dxa"/>
              <w:bottom w:w="50" w:type="dxa"/>
              <w:end w:w="50" w:type="dxa"/>
            </w:tcMar>
          </w:tcPr>
          <w:p>
            <w:r>
              <w:rPr>
                <w:rFonts w:ascii="Aptos" w:hAnsi="Aptos"/>
                <w:sz w:val="13"/>
              </w:rPr>
              <w:t>3,000,000</w:t>
            </w:r>
          </w:p>
        </w:tc>
        <w:tc>
          <w:tcPr>
            <w:tcW w:type="dxa" w:w="914400"/>
            <w:vAlign w:val="center"/>
            <w:tcMar>
              <w:top w:w="50" w:type="dxa"/>
              <w:start w:w="50" w:type="dxa"/>
              <w:bottom w:w="50" w:type="dxa"/>
              <w:end w:w="50" w:type="dxa"/>
            </w:tcMar>
          </w:tcPr>
          <w:p>
            <w:r>
              <w:rPr>
                <w:rFonts w:ascii="Aptos" w:hAnsi="Aptos"/>
                <w:sz w:val="13"/>
              </w:rPr>
              <w:t>6,000,000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4.3</w:t>
            </w:r>
          </w:p>
        </w:tc>
        <w:tc>
          <w:tcPr>
            <w:tcW w:type="dxa" w:w="2971800"/>
            <w:vAlign w:val="center"/>
            <w:tcMar>
              <w:top w:w="50" w:type="dxa"/>
              <w:start w:w="50" w:type="dxa"/>
              <w:bottom w:w="50" w:type="dxa"/>
              <w:end w:w="50" w:type="dxa"/>
            </w:tcMar>
            <w:shd w:fill="F7F9FB"/>
          </w:tcPr>
          <w:p>
            <w:r>
              <w:rPr>
                <w:rFonts w:ascii="Aptos" w:hAnsi="Aptos"/>
                <w:sz w:val="13"/>
              </w:rPr>
              <w:t>Cluster quality-testing and sampling kits</w:t>
            </w:r>
          </w:p>
        </w:tc>
        <w:tc>
          <w:tcPr>
            <w:tcW w:type="dxa" w:w="603504"/>
            <w:vAlign w:val="center"/>
            <w:tcMar>
              <w:top w:w="50" w:type="dxa"/>
              <w:start w:w="50" w:type="dxa"/>
              <w:bottom w:w="50" w:type="dxa"/>
              <w:end w:w="50" w:type="dxa"/>
            </w:tcMar>
            <w:shd w:fill="F7F9FB"/>
          </w:tcPr>
          <w:p>
            <w:r>
              <w:rPr>
                <w:rFonts w:ascii="Aptos" w:hAnsi="Aptos"/>
                <w:sz w:val="13"/>
              </w:rPr>
              <w:t>kit</w:t>
            </w:r>
          </w:p>
        </w:tc>
        <w:tc>
          <w:tcPr>
            <w:tcW w:type="dxa" w:w="438912"/>
            <w:vAlign w:val="center"/>
            <w:tcMar>
              <w:top w:w="50" w:type="dxa"/>
              <w:start w:w="50" w:type="dxa"/>
              <w:bottom w:w="50" w:type="dxa"/>
              <w:end w:w="50" w:type="dxa"/>
            </w:tcMar>
            <w:shd w:fill="F7F9FB"/>
          </w:tcPr>
          <w:p>
            <w:r>
              <w:rPr>
                <w:rFonts w:ascii="Aptos" w:hAnsi="Aptos"/>
                <w:sz w:val="13"/>
              </w:rPr>
              <w:t>10</w:t>
            </w:r>
          </w:p>
        </w:tc>
        <w:tc>
          <w:tcPr>
            <w:tcW w:type="dxa" w:w="841248"/>
            <w:vAlign w:val="center"/>
            <w:tcMar>
              <w:top w:w="50" w:type="dxa"/>
              <w:start w:w="50" w:type="dxa"/>
              <w:bottom w:w="50" w:type="dxa"/>
              <w:end w:w="50" w:type="dxa"/>
            </w:tcMar>
            <w:shd w:fill="F7F9FB"/>
          </w:tcPr>
          <w:p>
            <w:r>
              <w:rPr>
                <w:rFonts w:ascii="Aptos" w:hAnsi="Aptos"/>
                <w:sz w:val="13"/>
              </w:rPr>
              <w:t>400,000</w:t>
            </w:r>
          </w:p>
        </w:tc>
        <w:tc>
          <w:tcPr>
            <w:tcW w:type="dxa" w:w="841248"/>
            <w:vAlign w:val="center"/>
            <w:tcMar>
              <w:top w:w="50" w:type="dxa"/>
              <w:start w:w="50" w:type="dxa"/>
              <w:bottom w:w="50" w:type="dxa"/>
              <w:end w:w="50" w:type="dxa"/>
            </w:tcMar>
            <w:shd w:fill="F7F9FB"/>
          </w:tcPr>
          <w:p>
            <w:r>
              <w:rPr>
                <w:rFonts w:ascii="Aptos" w:hAnsi="Aptos"/>
                <w:sz w:val="13"/>
              </w:rPr>
              <w:t>2,000,000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914400"/>
            <w:vAlign w:val="center"/>
            <w:tcMar>
              <w:top w:w="50" w:type="dxa"/>
              <w:start w:w="50" w:type="dxa"/>
              <w:bottom w:w="50" w:type="dxa"/>
              <w:end w:w="50" w:type="dxa"/>
            </w:tcMar>
            <w:shd w:fill="F7F9FB"/>
          </w:tcPr>
          <w:p>
            <w:r>
              <w:rPr>
                <w:rFonts w:ascii="Aptos" w:hAnsi="Aptos"/>
                <w:sz w:val="13"/>
              </w:rPr>
              <w:t>4,000,000</w:t>
            </w:r>
          </w:p>
        </w:tc>
      </w:tr>
      <w:tr>
        <w:trPr>
          <w:cantSplit/>
          <w:cantSplit/>
        </w:trPr>
        <w:tc>
          <w:tcPr>
            <w:tcW w:type="dxa" w:w="438912"/>
            <w:vAlign w:val="center"/>
            <w:tcMar>
              <w:top w:w="50" w:type="dxa"/>
              <w:start w:w="50" w:type="dxa"/>
              <w:bottom w:w="50" w:type="dxa"/>
              <w:end w:w="50" w:type="dxa"/>
            </w:tcMar>
          </w:tcPr>
          <w:p>
            <w:r>
              <w:rPr>
                <w:rFonts w:ascii="Aptos" w:hAnsi="Aptos"/>
                <w:sz w:val="13"/>
              </w:rPr>
              <w:t>4.4</w:t>
            </w:r>
          </w:p>
        </w:tc>
        <w:tc>
          <w:tcPr>
            <w:tcW w:type="dxa" w:w="2971800"/>
            <w:vAlign w:val="center"/>
            <w:tcMar>
              <w:top w:w="50" w:type="dxa"/>
              <w:start w:w="50" w:type="dxa"/>
              <w:bottom w:w="50" w:type="dxa"/>
              <w:end w:w="50" w:type="dxa"/>
            </w:tcMar>
          </w:tcPr>
          <w:p>
            <w:r>
              <w:rPr>
                <w:rFonts w:ascii="Aptos" w:hAnsi="Aptos"/>
                <w:sz w:val="13"/>
              </w:rPr>
              <w:t>Accredited laboratory testing of fibre, seed, oil and fuel/feedstock samples</w:t>
            </w:r>
          </w:p>
        </w:tc>
        <w:tc>
          <w:tcPr>
            <w:tcW w:type="dxa" w:w="603504"/>
            <w:vAlign w:val="center"/>
            <w:tcMar>
              <w:top w:w="50" w:type="dxa"/>
              <w:start w:w="50" w:type="dxa"/>
              <w:bottom w:w="50" w:type="dxa"/>
              <w:end w:w="50" w:type="dxa"/>
            </w:tcMar>
          </w:tcPr>
          <w:p>
            <w:r>
              <w:rPr>
                <w:rFonts w:ascii="Aptos" w:hAnsi="Aptos"/>
                <w:sz w:val="13"/>
              </w:rPr>
              <w:t>sample</w:t>
            </w:r>
          </w:p>
        </w:tc>
        <w:tc>
          <w:tcPr>
            <w:tcW w:type="dxa" w:w="438912"/>
            <w:vAlign w:val="center"/>
            <w:tcMar>
              <w:top w:w="50" w:type="dxa"/>
              <w:start w:w="50" w:type="dxa"/>
              <w:bottom w:w="50" w:type="dxa"/>
              <w:end w:w="50" w:type="dxa"/>
            </w:tcMar>
          </w:tcPr>
          <w:p>
            <w:r>
              <w:rPr>
                <w:rFonts w:ascii="Aptos" w:hAnsi="Aptos"/>
                <w:sz w:val="13"/>
              </w:rPr>
              <w:t>60</w:t>
            </w:r>
          </w:p>
        </w:tc>
        <w:tc>
          <w:tcPr>
            <w:tcW w:type="dxa" w:w="841248"/>
            <w:vAlign w:val="center"/>
            <w:tcMar>
              <w:top w:w="50" w:type="dxa"/>
              <w:start w:w="50" w:type="dxa"/>
              <w:bottom w:w="50" w:type="dxa"/>
              <w:end w:w="50" w:type="dxa"/>
            </w:tcMar>
          </w:tcPr>
          <w:p>
            <w:r>
              <w:rPr>
                <w:rFonts w:ascii="Aptos" w:hAnsi="Aptos"/>
                <w:sz w:val="13"/>
              </w:rPr>
              <w:t>50,000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1,500,000</w:t>
            </w:r>
          </w:p>
        </w:tc>
        <w:tc>
          <w:tcPr>
            <w:tcW w:type="dxa" w:w="914400"/>
            <w:vAlign w:val="center"/>
            <w:tcMar>
              <w:top w:w="50" w:type="dxa"/>
              <w:start w:w="50" w:type="dxa"/>
              <w:bottom w:w="50" w:type="dxa"/>
              <w:end w:w="50" w:type="dxa"/>
            </w:tcMar>
          </w:tcPr>
          <w:p>
            <w:r>
              <w:rPr>
                <w:rFonts w:ascii="Aptos" w:hAnsi="Aptos"/>
                <w:sz w:val="13"/>
              </w:rPr>
              <w:t>3,000,000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4.5</w:t>
            </w:r>
          </w:p>
        </w:tc>
        <w:tc>
          <w:tcPr>
            <w:tcW w:type="dxa" w:w="2971800"/>
            <w:vAlign w:val="center"/>
            <w:tcMar>
              <w:top w:w="50" w:type="dxa"/>
              <w:start w:w="50" w:type="dxa"/>
              <w:bottom w:w="50" w:type="dxa"/>
              <w:end w:w="50" w:type="dxa"/>
            </w:tcMar>
            <w:shd w:fill="F7F9FB"/>
          </w:tcPr>
          <w:p>
            <w:r>
              <w:rPr>
                <w:rFonts w:ascii="Aptos" w:hAnsi="Aptos"/>
                <w:sz w:val="13"/>
              </w:rPr>
              <w:t>Training and competency assessment for internal inspectors and quality leads</w:t>
            </w:r>
          </w:p>
        </w:tc>
        <w:tc>
          <w:tcPr>
            <w:tcW w:type="dxa" w:w="603504"/>
            <w:vAlign w:val="center"/>
            <w:tcMar>
              <w:top w:w="50" w:type="dxa"/>
              <w:start w:w="50" w:type="dxa"/>
              <w:bottom w:w="50" w:type="dxa"/>
              <w:end w:w="50" w:type="dxa"/>
            </w:tcMar>
            <w:shd w:fill="F7F9FB"/>
          </w:tcPr>
          <w:p>
            <w:r>
              <w:rPr>
                <w:rFonts w:ascii="Aptos" w:hAnsi="Aptos"/>
                <w:sz w:val="13"/>
              </w:rPr>
              <w:t>person</w:t>
            </w:r>
          </w:p>
        </w:tc>
        <w:tc>
          <w:tcPr>
            <w:tcW w:type="dxa" w:w="438912"/>
            <w:vAlign w:val="center"/>
            <w:tcMar>
              <w:top w:w="50" w:type="dxa"/>
              <w:start w:w="50" w:type="dxa"/>
              <w:bottom w:w="50" w:type="dxa"/>
              <w:end w:w="50" w:type="dxa"/>
            </w:tcMar>
            <w:shd w:fill="F7F9FB"/>
          </w:tcPr>
          <w:p>
            <w:r>
              <w:rPr>
                <w:rFonts w:ascii="Aptos" w:hAnsi="Aptos"/>
                <w:sz w:val="13"/>
              </w:rPr>
              <w:t>40</w:t>
            </w:r>
          </w:p>
        </w:tc>
        <w:tc>
          <w:tcPr>
            <w:tcW w:type="dxa" w:w="841248"/>
            <w:vAlign w:val="center"/>
            <w:tcMar>
              <w:top w:w="50" w:type="dxa"/>
              <w:start w:w="50" w:type="dxa"/>
              <w:bottom w:w="50" w:type="dxa"/>
              <w:end w:w="50" w:type="dxa"/>
            </w:tcMar>
            <w:shd w:fill="F7F9FB"/>
          </w:tcPr>
          <w:p>
            <w:r>
              <w:rPr>
                <w:rFonts w:ascii="Aptos" w:hAnsi="Aptos"/>
                <w:sz w:val="13"/>
              </w:rPr>
              <w:t>50,000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914400"/>
            <w:vAlign w:val="center"/>
            <w:tcMar>
              <w:top w:w="50" w:type="dxa"/>
              <w:start w:w="50" w:type="dxa"/>
              <w:bottom w:w="50" w:type="dxa"/>
              <w:end w:w="50" w:type="dxa"/>
            </w:tcMar>
            <w:shd w:fill="F7F9FB"/>
          </w:tcPr>
          <w:p>
            <w:r>
              <w:rPr>
                <w:rFonts w:ascii="Aptos" w:hAnsi="Aptos"/>
                <w:sz w:val="13"/>
              </w:rPr>
              <w:t>2,000,000</w:t>
            </w:r>
          </w:p>
        </w:tc>
      </w:tr>
      <w:tr>
        <w:trPr>
          <w:cantSplit/>
          <w:cantSplit/>
        </w:trPr>
        <w:tc>
          <w:tcPr>
            <w:tcW w:type="dxa" w:w="438912"/>
            <w:vAlign w:val="center"/>
            <w:tcMar>
              <w:top w:w="50" w:type="dxa"/>
              <w:start w:w="50" w:type="dxa"/>
              <w:bottom w:w="50" w:type="dxa"/>
              <w:end w:w="50" w:type="dxa"/>
            </w:tcMar>
          </w:tcPr>
          <w:p>
            <w:r>
              <w:rPr>
                <w:rFonts w:ascii="Aptos" w:hAnsi="Aptos"/>
                <w:sz w:val="13"/>
              </w:rPr>
              <w:t>4.6</w:t>
            </w:r>
          </w:p>
        </w:tc>
        <w:tc>
          <w:tcPr>
            <w:tcW w:type="dxa" w:w="2971800"/>
            <w:vAlign w:val="center"/>
            <w:tcMar>
              <w:top w:w="50" w:type="dxa"/>
              <w:start w:w="50" w:type="dxa"/>
              <w:bottom w:w="50" w:type="dxa"/>
              <w:end w:w="50" w:type="dxa"/>
            </w:tcMar>
          </w:tcPr>
          <w:p>
            <w:r>
              <w:rPr>
                <w:rFonts w:ascii="Aptos" w:hAnsi="Aptos"/>
                <w:sz w:val="13"/>
              </w:rPr>
              <w:t>External pre-audit, buyer compliance review and corrective-action support</w:t>
            </w:r>
          </w:p>
        </w:tc>
        <w:tc>
          <w:tcPr>
            <w:tcW w:type="dxa" w:w="603504"/>
            <w:vAlign w:val="center"/>
            <w:tcMar>
              <w:top w:w="50" w:type="dxa"/>
              <w:start w:w="50" w:type="dxa"/>
              <w:bottom w:w="50" w:type="dxa"/>
              <w:end w:w="50" w:type="dxa"/>
            </w:tcMar>
          </w:tcPr>
          <w:p>
            <w:r>
              <w:rPr>
                <w:rFonts w:ascii="Aptos" w:hAnsi="Aptos"/>
                <w:sz w:val="13"/>
              </w:rPr>
              <w:t>assignment</w:t>
            </w:r>
          </w:p>
        </w:tc>
        <w:tc>
          <w:tcPr>
            <w:tcW w:type="dxa" w:w="438912"/>
            <w:vAlign w:val="center"/>
            <w:tcMar>
              <w:top w:w="50" w:type="dxa"/>
              <w:start w:w="50" w:type="dxa"/>
              <w:bottom w:w="50" w:type="dxa"/>
              <w:end w:w="50" w:type="dxa"/>
            </w:tcMar>
          </w:tcPr>
          <w:p>
            <w:r>
              <w:rPr>
                <w:rFonts w:ascii="Aptos" w:hAnsi="Aptos"/>
                <w:sz w:val="13"/>
              </w:rPr>
              <w:t>2</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0</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1,000,000</w:t>
            </w:r>
          </w:p>
        </w:tc>
        <w:tc>
          <w:tcPr>
            <w:tcW w:type="dxa" w:w="914400"/>
            <w:vAlign w:val="center"/>
            <w:tcMar>
              <w:top w:w="50" w:type="dxa"/>
              <w:start w:w="50" w:type="dxa"/>
              <w:bottom w:w="50" w:type="dxa"/>
              <w:end w:w="50" w:type="dxa"/>
            </w:tcMar>
          </w:tcPr>
          <w:p>
            <w:r>
              <w:rPr>
                <w:rFonts w:ascii="Aptos" w:hAnsi="Aptos"/>
                <w:sz w:val="13"/>
              </w:rPr>
              <w:t>2,000,000</w:t>
            </w:r>
          </w:p>
        </w:tc>
      </w:tr>
      <w:tr>
        <w:trPr>
          <w:cantSplit/>
          <w:cantSplit/>
        </w:trPr>
        <w:tc>
          <w:tcPr>
            <w:tcW w:type="dxa" w:w="8080"/>
            <w:gridSpan w:val="5"/>
            <w:vAlign w:val="center"/>
            <w:tcMar>
              <w:top w:w="50" w:type="dxa"/>
              <w:start w:w="50" w:type="dxa"/>
              <w:bottom w:w="50" w:type="dxa"/>
              <w:end w:w="50" w:type="dxa"/>
            </w:tcMar>
            <w:shd w:fill="F7F9FB"/>
          </w:tcPr>
          <w:p>
            <w:r>
              <w:rPr>
                <w:rFonts w:ascii="Aptos" w:hAnsi="Aptos"/>
                <w:sz w:val="13"/>
              </w:rPr>
              <w:t>Subtotal 4: Standards, quality assurance, testing and certification readiness</w:t>
            </w:r>
          </w:p>
        </w:tc>
        <w:tc>
          <w:tcPr>
            <w:tcW w:type="dxa" w:w="1616"/>
            <w:vAlign w:val="center"/>
            <w:tcMar>
              <w:top w:w="50" w:type="dxa"/>
              <w:start w:w="50" w:type="dxa"/>
              <w:bottom w:w="50" w:type="dxa"/>
              <w:end w:w="50" w:type="dxa"/>
            </w:tcMar>
            <w:shd w:fill="F7F9FB"/>
          </w:tcPr>
          <w:p>
            <w:r>
              <w:rPr>
                <w:rFonts w:ascii="Aptos" w:hAnsi="Aptos"/>
                <w:sz w:val="13"/>
              </w:rPr>
              <w:t>5,000,000</w:t>
            </w:r>
          </w:p>
        </w:tc>
        <w:tc>
          <w:tcPr>
            <w:tcW w:type="dxa" w:w="1616"/>
            <w:vAlign w:val="center"/>
            <w:tcMar>
              <w:top w:w="50" w:type="dxa"/>
              <w:start w:w="50" w:type="dxa"/>
              <w:bottom w:w="50" w:type="dxa"/>
              <w:end w:w="50" w:type="dxa"/>
            </w:tcMar>
            <w:shd w:fill="F7F9FB"/>
          </w:tcPr>
          <w:p>
            <w:r>
              <w:rPr>
                <w:rFonts w:ascii="Aptos" w:hAnsi="Aptos"/>
                <w:sz w:val="13"/>
              </w:rPr>
              <w:t>7,000,000</w:t>
            </w:r>
          </w:p>
        </w:tc>
        <w:tc>
          <w:tcPr>
            <w:tcW w:type="dxa" w:w="1616"/>
            <w:vAlign w:val="center"/>
            <w:tcMar>
              <w:top w:w="50" w:type="dxa"/>
              <w:start w:w="50" w:type="dxa"/>
              <w:bottom w:w="50" w:type="dxa"/>
              <w:end w:w="50" w:type="dxa"/>
            </w:tcMar>
            <w:shd w:fill="F7F9FB"/>
          </w:tcPr>
          <w:p>
            <w:r>
              <w:rPr>
                <w:rFonts w:ascii="Aptos" w:hAnsi="Aptos"/>
                <w:sz w:val="13"/>
              </w:rPr>
              <w:t>7,000,000</w:t>
            </w:r>
          </w:p>
        </w:tc>
        <w:tc>
          <w:tcPr>
            <w:tcW w:type="dxa" w:w="1616"/>
            <w:vAlign w:val="center"/>
            <w:tcMar>
              <w:top w:w="50" w:type="dxa"/>
              <w:start w:w="50" w:type="dxa"/>
              <w:bottom w:w="50" w:type="dxa"/>
              <w:end w:w="50" w:type="dxa"/>
            </w:tcMar>
            <w:shd w:fill="F7F9FB"/>
          </w:tcPr>
          <w:p>
            <w:r>
              <w:rPr>
                <w:rFonts w:ascii="Aptos" w:hAnsi="Aptos"/>
                <w:sz w:val="13"/>
              </w:rPr>
              <w:t>19,000,000</w:t>
            </w:r>
          </w:p>
        </w:tc>
      </w:tr>
      <w:tr>
        <w:trPr>
          <w:cantSplit/>
          <w:cantSplit/>
        </w:trPr>
        <w:tc>
          <w:tcPr>
            <w:tcW w:type="dxa" w:w="14544"/>
            <w:gridSpan w:val="9"/>
            <w:vAlign w:val="center"/>
            <w:tcMar>
              <w:top w:w="50" w:type="dxa"/>
              <w:start w:w="50" w:type="dxa"/>
              <w:bottom w:w="50" w:type="dxa"/>
              <w:end w:w="50" w:type="dxa"/>
            </w:tcMar>
            <w:shd w:fill="D9EAF7"/>
          </w:tcPr>
          <w:p>
            <w:r>
              <w:rPr>
                <w:rFonts w:ascii="Aptos" w:hAnsi="Aptos"/>
                <w:sz w:val="13"/>
              </w:rPr>
              <w:t>5. Digital platform, permissioned blockchain and integrations - Afrisol Technologies Limited (Direct cost; linked to Component 5)</w:t>
            </w:r>
          </w:p>
        </w:tc>
      </w:tr>
      <w:tr>
        <w:tc>
          <w:tcPr>
            <w:tcW w:type="dxa" w:w="1616"/>
            <w:shd w:fill="F7F9FB"/>
            <w:tcMar>
              <w:top w:w="50" w:type="dxa"/>
              <w:start w:w="50" w:type="dxa"/>
              <w:bottom w:w="50" w:type="dxa"/>
              <w:end w:w="50" w:type="dxa"/>
            </w:tcMar>
            <w:vAlign w:val="center"/>
          </w:tcPr>
          <w:p>
            <w:r>
              <w:rPr>
                <w:rFonts w:ascii="Aptos" w:hAnsi="Aptos"/>
                <w:sz w:val="13"/>
              </w:rPr>
              <w:t>5.1</w:t>
            </w:r>
          </w:p>
        </w:tc>
        <w:tc>
          <w:tcPr>
            <w:tcW w:type="dxa" w:w="1616"/>
            <w:shd w:fill="F7F9FB"/>
            <w:tcMar>
              <w:top w:w="50" w:type="dxa"/>
              <w:start w:w="50" w:type="dxa"/>
              <w:bottom w:w="50" w:type="dxa"/>
              <w:end w:w="50" w:type="dxa"/>
            </w:tcMar>
            <w:vAlign w:val="center"/>
          </w:tcPr>
          <w:p>
            <w:r>
              <w:rPr>
                <w:rFonts w:ascii="Aptos" w:hAnsi="Aptos"/>
                <w:sz w:val="13"/>
              </w:rPr>
              <w:t>Requirements, process mapping, EPCIS/data dictionary, privacy and blockchain governance design</w:t>
            </w:r>
          </w:p>
        </w:tc>
        <w:tc>
          <w:tcPr>
            <w:tcW w:type="dxa" w:w="1616"/>
            <w:shd w:fill="F7F9FB"/>
            <w:tcMar>
              <w:top w:w="50" w:type="dxa"/>
              <w:start w:w="50" w:type="dxa"/>
              <w:bottom w:w="50" w:type="dxa"/>
              <w:end w:w="50" w:type="dxa"/>
            </w:tcMar>
            <w:vAlign w:val="center"/>
          </w:tcPr>
          <w:p>
            <w:r>
              <w:rPr>
                <w:rFonts w:ascii="Aptos" w:hAnsi="Aptos"/>
                <w:sz w:val="13"/>
              </w:rPr>
              <w:t>package</w:t>
            </w:r>
          </w:p>
        </w:tc>
        <w:tc>
          <w:tcPr>
            <w:tcW w:type="dxa" w:w="1616"/>
            <w:shd w:fill="F7F9FB"/>
            <w:tcMar>
              <w:top w:w="50" w:type="dxa"/>
              <w:start w:w="50" w:type="dxa"/>
              <w:bottom w:w="50" w:type="dxa"/>
              <w:end w:w="50" w:type="dxa"/>
            </w:tcMar>
            <w:vAlign w:val="center"/>
          </w:tcPr>
          <w:p>
            <w:r>
              <w:rPr>
                <w:rFonts w:ascii="Aptos" w:hAnsi="Aptos"/>
                <w:sz w:val="13"/>
              </w:rPr>
              <w:t>1</w:t>
            </w:r>
          </w:p>
        </w:tc>
        <w:tc>
          <w:tcPr>
            <w:tcW w:type="dxa" w:w="1616"/>
            <w:shd w:fill="F7F9FB"/>
            <w:tcMar>
              <w:top w:w="50" w:type="dxa"/>
              <w:start w:w="50" w:type="dxa"/>
              <w:bottom w:w="50" w:type="dxa"/>
              <w:end w:w="50" w:type="dxa"/>
            </w:tcMar>
            <w:vAlign w:val="center"/>
          </w:tcPr>
          <w:p>
            <w:r>
              <w:rPr>
                <w:rFonts w:ascii="Aptos" w:hAnsi="Aptos"/>
                <w:sz w:val="13"/>
              </w:rPr>
              <w:t>1,500,000</w:t>
            </w:r>
          </w:p>
        </w:tc>
        <w:tc>
          <w:tcPr>
            <w:tcW w:type="dxa" w:w="1616"/>
            <w:shd w:fill="F7F9FB"/>
            <w:tcMar>
              <w:top w:w="50" w:type="dxa"/>
              <w:start w:w="50" w:type="dxa"/>
              <w:bottom w:w="50" w:type="dxa"/>
              <w:end w:w="50" w:type="dxa"/>
            </w:tcMar>
            <w:vAlign w:val="center"/>
          </w:tcPr>
          <w:p>
            <w:r>
              <w:rPr>
                <w:rFonts w:ascii="Aptos" w:hAnsi="Aptos"/>
                <w:sz w:val="13"/>
              </w:rPr>
              <w:t>1,500,000</w:t>
            </w:r>
          </w:p>
        </w:tc>
        <w:tc>
          <w:tcPr>
            <w:tcW w:type="dxa" w:w="1616"/>
            <w:shd w:fill="F7F9FB"/>
            <w:tcMar>
              <w:top w:w="50" w:type="dxa"/>
              <w:start w:w="50" w:type="dxa"/>
              <w:bottom w:w="50" w:type="dxa"/>
              <w:end w:w="50" w:type="dxa"/>
            </w:tcMar>
            <w:vAlign w:val="center"/>
          </w:tcPr>
          <w:p>
            <w:r>
              <w:rPr>
                <w:rFonts w:ascii="Aptos" w:hAnsi="Aptos"/>
                <w:sz w:val="13"/>
              </w:rPr>
              <w:t>0</w:t>
            </w:r>
          </w:p>
        </w:tc>
        <w:tc>
          <w:tcPr>
            <w:tcW w:type="dxa" w:w="1616"/>
            <w:shd w:fill="F7F9FB"/>
            <w:tcMar>
              <w:top w:w="50" w:type="dxa"/>
              <w:start w:w="50" w:type="dxa"/>
              <w:bottom w:w="50" w:type="dxa"/>
              <w:end w:w="50" w:type="dxa"/>
            </w:tcMar>
            <w:vAlign w:val="center"/>
          </w:tcPr>
          <w:p>
            <w:r>
              <w:rPr>
                <w:rFonts w:ascii="Aptos" w:hAnsi="Aptos"/>
                <w:sz w:val="13"/>
              </w:rPr>
              <w:t>0</w:t>
            </w:r>
          </w:p>
        </w:tc>
        <w:tc>
          <w:tcPr>
            <w:tcW w:type="dxa" w:w="1616"/>
            <w:shd w:fill="F7F9FB"/>
            <w:tcMar>
              <w:top w:w="50" w:type="dxa"/>
              <w:start w:w="50" w:type="dxa"/>
              <w:bottom w:w="50" w:type="dxa"/>
              <w:end w:w="50" w:type="dxa"/>
            </w:tcMar>
            <w:vAlign w:val="center"/>
          </w:tcPr>
          <w:p>
            <w:r>
              <w:rPr>
                <w:rFonts w:ascii="Aptos" w:hAnsi="Aptos"/>
                <w:sz w:val="13"/>
              </w:rPr>
              <w:t>1,500,000</w:t>
            </w:r>
          </w:p>
        </w:tc>
      </w:tr>
      <w:tr>
        <w:tc>
          <w:tcPr>
            <w:tcW w:type="dxa" w:w="1616"/>
            <w:tcMar>
              <w:top w:w="50" w:type="dxa"/>
              <w:start w:w="50" w:type="dxa"/>
              <w:bottom w:w="50" w:type="dxa"/>
              <w:end w:w="50" w:type="dxa"/>
            </w:tcMar>
            <w:vAlign w:val="center"/>
          </w:tcPr>
          <w:p>
            <w:r>
              <w:rPr>
                <w:rFonts w:ascii="Aptos" w:hAnsi="Aptos"/>
                <w:sz w:val="13"/>
              </w:rPr>
              <w:t>5.2</w:t>
            </w:r>
          </w:p>
        </w:tc>
        <w:tc>
          <w:tcPr>
            <w:tcW w:type="dxa" w:w="1616"/>
            <w:tcMar>
              <w:top w:w="50" w:type="dxa"/>
              <w:start w:w="50" w:type="dxa"/>
              <w:bottom w:w="50" w:type="dxa"/>
              <w:end w:w="50" w:type="dxa"/>
            </w:tcMar>
            <w:vAlign w:val="center"/>
          </w:tcPr>
          <w:p>
            <w:r>
              <w:rPr>
                <w:rFonts w:ascii="Aptos" w:hAnsi="Aptos"/>
                <w:sz w:val="13"/>
              </w:rPr>
              <w:t>Solution architecture, user experience, interoperability and blockchain prototype</w:t>
            </w:r>
          </w:p>
        </w:tc>
        <w:tc>
          <w:tcPr>
            <w:tcW w:type="dxa" w:w="1616"/>
            <w:tcMar>
              <w:top w:w="50" w:type="dxa"/>
              <w:start w:w="50" w:type="dxa"/>
              <w:bottom w:w="50" w:type="dxa"/>
              <w:end w:w="50" w:type="dxa"/>
            </w:tcMar>
            <w:vAlign w:val="center"/>
          </w:tcPr>
          <w:p>
            <w:r>
              <w:rPr>
                <w:rFonts w:ascii="Aptos" w:hAnsi="Aptos"/>
                <w:sz w:val="13"/>
              </w:rPr>
              <w:t>package</w:t>
            </w:r>
          </w:p>
        </w:tc>
        <w:tc>
          <w:tcPr>
            <w:tcW w:type="dxa" w:w="1616"/>
            <w:tcMar>
              <w:top w:w="50" w:type="dxa"/>
              <w:start w:w="50" w:type="dxa"/>
              <w:bottom w:w="50" w:type="dxa"/>
              <w:end w:w="50" w:type="dxa"/>
            </w:tcMar>
            <w:vAlign w:val="center"/>
          </w:tcPr>
          <w:p>
            <w:r>
              <w:rPr>
                <w:rFonts w:ascii="Aptos" w:hAnsi="Aptos"/>
                <w:sz w:val="13"/>
              </w:rPr>
              <w:t>1</w:t>
            </w:r>
          </w:p>
        </w:tc>
        <w:tc>
          <w:tcPr>
            <w:tcW w:type="dxa" w:w="1616"/>
            <w:tcMar>
              <w:top w:w="50" w:type="dxa"/>
              <w:start w:w="50" w:type="dxa"/>
              <w:bottom w:w="50" w:type="dxa"/>
              <w:end w:w="50" w:type="dxa"/>
            </w:tcMar>
            <w:vAlign w:val="center"/>
          </w:tcPr>
          <w:p>
            <w:r>
              <w:rPr>
                <w:rFonts w:ascii="Aptos" w:hAnsi="Aptos"/>
                <w:sz w:val="13"/>
              </w:rPr>
              <w:t>2,000,000</w:t>
            </w:r>
          </w:p>
        </w:tc>
        <w:tc>
          <w:tcPr>
            <w:tcW w:type="dxa" w:w="1616"/>
            <w:tcMar>
              <w:top w:w="50" w:type="dxa"/>
              <w:start w:w="50" w:type="dxa"/>
              <w:bottom w:w="50" w:type="dxa"/>
              <w:end w:w="50" w:type="dxa"/>
            </w:tcMar>
            <w:vAlign w:val="center"/>
          </w:tcPr>
          <w:p>
            <w:r>
              <w:rPr>
                <w:rFonts w:ascii="Aptos" w:hAnsi="Aptos"/>
                <w:sz w:val="13"/>
              </w:rPr>
              <w:t>2,000,000</w:t>
            </w:r>
          </w:p>
        </w:tc>
        <w:tc>
          <w:tcPr>
            <w:tcW w:type="dxa" w:w="1616"/>
            <w:tcMar>
              <w:top w:w="50" w:type="dxa"/>
              <w:start w:w="50" w:type="dxa"/>
              <w:bottom w:w="50" w:type="dxa"/>
              <w:end w:w="50" w:type="dxa"/>
            </w:tcMar>
            <w:vAlign w:val="center"/>
          </w:tcPr>
          <w:p>
            <w:r>
              <w:rPr>
                <w:rFonts w:ascii="Aptos" w:hAnsi="Aptos"/>
                <w:sz w:val="13"/>
              </w:rPr>
              <w:t>0</w:t>
            </w:r>
          </w:p>
        </w:tc>
        <w:tc>
          <w:tcPr>
            <w:tcW w:type="dxa" w:w="1616"/>
            <w:tcMar>
              <w:top w:w="50" w:type="dxa"/>
              <w:start w:w="50" w:type="dxa"/>
              <w:bottom w:w="50" w:type="dxa"/>
              <w:end w:w="50" w:type="dxa"/>
            </w:tcMar>
            <w:vAlign w:val="center"/>
          </w:tcPr>
          <w:p>
            <w:r>
              <w:rPr>
                <w:rFonts w:ascii="Aptos" w:hAnsi="Aptos"/>
                <w:sz w:val="13"/>
              </w:rPr>
              <w:t>0</w:t>
            </w:r>
          </w:p>
        </w:tc>
        <w:tc>
          <w:tcPr>
            <w:tcW w:type="dxa" w:w="1616"/>
            <w:tcMar>
              <w:top w:w="50" w:type="dxa"/>
              <w:start w:w="50" w:type="dxa"/>
              <w:bottom w:w="50" w:type="dxa"/>
              <w:end w:w="50" w:type="dxa"/>
            </w:tcMar>
            <w:vAlign w:val="center"/>
          </w:tcPr>
          <w:p>
            <w:r>
              <w:rPr>
                <w:rFonts w:ascii="Aptos" w:hAnsi="Aptos"/>
                <w:sz w:val="13"/>
              </w:rPr>
              <w:t>2,000,000</w:t>
            </w:r>
          </w:p>
        </w:tc>
      </w:tr>
      <w:tr>
        <w:tc>
          <w:tcPr>
            <w:tcW w:type="dxa" w:w="1616"/>
            <w:shd w:fill="F7F9FB"/>
            <w:tcMar>
              <w:top w:w="50" w:type="dxa"/>
              <w:start w:w="50" w:type="dxa"/>
              <w:bottom w:w="50" w:type="dxa"/>
              <w:end w:w="50" w:type="dxa"/>
            </w:tcMar>
            <w:vAlign w:val="center"/>
          </w:tcPr>
          <w:p>
            <w:r>
              <w:rPr>
                <w:rFonts w:ascii="Aptos" w:hAnsi="Aptos"/>
                <w:sz w:val="13"/>
              </w:rPr>
              <w:t>5.3</w:t>
            </w:r>
          </w:p>
        </w:tc>
        <w:tc>
          <w:tcPr>
            <w:tcW w:type="dxa" w:w="1616"/>
            <w:shd w:fill="F7F9FB"/>
            <w:tcMar>
              <w:top w:w="50" w:type="dxa"/>
              <w:start w:w="50" w:type="dxa"/>
              <w:bottom w:w="50" w:type="dxa"/>
              <w:end w:w="50" w:type="dxa"/>
            </w:tcMar>
            <w:vAlign w:val="center"/>
          </w:tcPr>
          <w:p>
            <w:r>
              <w:rPr>
                <w:rFonts w:ascii="Aptos" w:hAnsi="Aptos"/>
                <w:sz w:val="13"/>
              </w:rPr>
              <w:t>Core registry, GIS, traceability and quality modules</w:t>
            </w:r>
          </w:p>
        </w:tc>
        <w:tc>
          <w:tcPr>
            <w:tcW w:type="dxa" w:w="1616"/>
            <w:shd w:fill="F7F9FB"/>
            <w:tcMar>
              <w:top w:w="50" w:type="dxa"/>
              <w:start w:w="50" w:type="dxa"/>
              <w:bottom w:w="50" w:type="dxa"/>
              <w:end w:w="50" w:type="dxa"/>
            </w:tcMar>
            <w:vAlign w:val="center"/>
          </w:tcPr>
          <w:p>
            <w:r>
              <w:rPr>
                <w:rFonts w:ascii="Aptos" w:hAnsi="Aptos"/>
                <w:sz w:val="13"/>
              </w:rPr>
              <w:t>build</w:t>
            </w:r>
          </w:p>
        </w:tc>
        <w:tc>
          <w:tcPr>
            <w:tcW w:type="dxa" w:w="1616"/>
            <w:shd w:fill="F7F9FB"/>
            <w:tcMar>
              <w:top w:w="50" w:type="dxa"/>
              <w:start w:w="50" w:type="dxa"/>
              <w:bottom w:w="50" w:type="dxa"/>
              <w:end w:w="50" w:type="dxa"/>
            </w:tcMar>
            <w:vAlign w:val="center"/>
          </w:tcPr>
          <w:p>
            <w:r>
              <w:rPr>
                <w:rFonts w:ascii="Aptos" w:hAnsi="Aptos"/>
                <w:sz w:val="13"/>
              </w:rPr>
              <w:t>1</w:t>
            </w:r>
          </w:p>
        </w:tc>
        <w:tc>
          <w:tcPr>
            <w:tcW w:type="dxa" w:w="1616"/>
            <w:shd w:fill="F7F9FB"/>
            <w:tcMar>
              <w:top w:w="50" w:type="dxa"/>
              <w:start w:w="50" w:type="dxa"/>
              <w:bottom w:w="50" w:type="dxa"/>
              <w:end w:w="50" w:type="dxa"/>
            </w:tcMar>
            <w:vAlign w:val="center"/>
          </w:tcPr>
          <w:p>
            <w:r>
              <w:rPr>
                <w:rFonts w:ascii="Aptos" w:hAnsi="Aptos"/>
                <w:sz w:val="13"/>
              </w:rPr>
              <w:t>6,000,000</w:t>
            </w:r>
          </w:p>
        </w:tc>
        <w:tc>
          <w:tcPr>
            <w:tcW w:type="dxa" w:w="1616"/>
            <w:shd w:fill="F7F9FB"/>
            <w:tcMar>
              <w:top w:w="50" w:type="dxa"/>
              <w:start w:w="50" w:type="dxa"/>
              <w:bottom w:w="50" w:type="dxa"/>
              <w:end w:w="50" w:type="dxa"/>
            </w:tcMar>
            <w:vAlign w:val="center"/>
          </w:tcPr>
          <w:p>
            <w:r>
              <w:rPr>
                <w:rFonts w:ascii="Aptos" w:hAnsi="Aptos"/>
                <w:sz w:val="13"/>
              </w:rPr>
              <w:t>4,000,000</w:t>
            </w:r>
          </w:p>
        </w:tc>
        <w:tc>
          <w:tcPr>
            <w:tcW w:type="dxa" w:w="1616"/>
            <w:shd w:fill="F7F9FB"/>
            <w:tcMar>
              <w:top w:w="50" w:type="dxa"/>
              <w:start w:w="50" w:type="dxa"/>
              <w:bottom w:w="50" w:type="dxa"/>
              <w:end w:w="50" w:type="dxa"/>
            </w:tcMar>
            <w:vAlign w:val="center"/>
          </w:tcPr>
          <w:p>
            <w:r>
              <w:rPr>
                <w:rFonts w:ascii="Aptos" w:hAnsi="Aptos"/>
                <w:sz w:val="13"/>
              </w:rPr>
              <w:t>1,600,000</w:t>
            </w:r>
          </w:p>
        </w:tc>
        <w:tc>
          <w:tcPr>
            <w:tcW w:type="dxa" w:w="1616"/>
            <w:shd w:fill="F7F9FB"/>
            <w:tcMar>
              <w:top w:w="50" w:type="dxa"/>
              <w:start w:w="50" w:type="dxa"/>
              <w:bottom w:w="50" w:type="dxa"/>
              <w:end w:w="50" w:type="dxa"/>
            </w:tcMar>
            <w:vAlign w:val="center"/>
          </w:tcPr>
          <w:p>
            <w:r>
              <w:rPr>
                <w:rFonts w:ascii="Aptos" w:hAnsi="Aptos"/>
                <w:sz w:val="13"/>
              </w:rPr>
              <w:t>400,000</w:t>
            </w:r>
          </w:p>
        </w:tc>
        <w:tc>
          <w:tcPr>
            <w:tcW w:type="dxa" w:w="1616"/>
            <w:shd w:fill="F7F9FB"/>
            <w:tcMar>
              <w:top w:w="50" w:type="dxa"/>
              <w:start w:w="50" w:type="dxa"/>
              <w:bottom w:w="50" w:type="dxa"/>
              <w:end w:w="50" w:type="dxa"/>
            </w:tcMar>
            <w:vAlign w:val="center"/>
          </w:tcPr>
          <w:p>
            <w:r>
              <w:rPr>
                <w:rFonts w:ascii="Aptos" w:hAnsi="Aptos"/>
                <w:sz w:val="13"/>
              </w:rPr>
              <w:t>6,000,000</w:t>
            </w:r>
          </w:p>
        </w:tc>
      </w:tr>
      <w:tr>
        <w:tc>
          <w:tcPr>
            <w:tcW w:type="dxa" w:w="1616"/>
            <w:tcMar>
              <w:top w:w="50" w:type="dxa"/>
              <w:start w:w="50" w:type="dxa"/>
              <w:bottom w:w="50" w:type="dxa"/>
              <w:end w:w="50" w:type="dxa"/>
            </w:tcMar>
            <w:vAlign w:val="center"/>
          </w:tcPr>
          <w:p>
            <w:r>
              <w:rPr>
                <w:rFonts w:ascii="Aptos" w:hAnsi="Aptos"/>
                <w:sz w:val="13"/>
              </w:rPr>
              <w:t>5.4</w:t>
            </w:r>
          </w:p>
        </w:tc>
        <w:tc>
          <w:tcPr>
            <w:tcW w:type="dxa" w:w="1616"/>
            <w:tcMar>
              <w:top w:w="50" w:type="dxa"/>
              <w:start w:w="50" w:type="dxa"/>
              <w:bottom w:w="50" w:type="dxa"/>
              <w:end w:w="50" w:type="dxa"/>
            </w:tcMar>
            <w:vAlign w:val="center"/>
          </w:tcPr>
          <w:p>
            <w:r>
              <w:rPr>
                <w:rFonts w:ascii="Aptos" w:hAnsi="Aptos"/>
                <w:sz w:val="13"/>
              </w:rPr>
              <w:t>Permissioned blockchain network, smart contracts, EPCIS anchoring and verifiable credentials</w:t>
            </w:r>
          </w:p>
        </w:tc>
        <w:tc>
          <w:tcPr>
            <w:tcW w:type="dxa" w:w="1616"/>
            <w:tcMar>
              <w:top w:w="50" w:type="dxa"/>
              <w:start w:w="50" w:type="dxa"/>
              <w:bottom w:w="50" w:type="dxa"/>
              <w:end w:w="50" w:type="dxa"/>
            </w:tcMar>
            <w:vAlign w:val="center"/>
          </w:tcPr>
          <w:p>
            <w:r>
              <w:rPr>
                <w:rFonts w:ascii="Aptos" w:hAnsi="Aptos"/>
                <w:sz w:val="13"/>
              </w:rPr>
              <w:t>build</w:t>
            </w:r>
          </w:p>
        </w:tc>
        <w:tc>
          <w:tcPr>
            <w:tcW w:type="dxa" w:w="1616"/>
            <w:tcMar>
              <w:top w:w="50" w:type="dxa"/>
              <w:start w:w="50" w:type="dxa"/>
              <w:bottom w:w="50" w:type="dxa"/>
              <w:end w:w="50" w:type="dxa"/>
            </w:tcMar>
            <w:vAlign w:val="center"/>
          </w:tcPr>
          <w:p>
            <w:r>
              <w:rPr>
                <w:rFonts w:ascii="Aptos" w:hAnsi="Aptos"/>
                <w:sz w:val="13"/>
              </w:rPr>
              <w:t>1</w:t>
            </w:r>
          </w:p>
        </w:tc>
        <w:tc>
          <w:tcPr>
            <w:tcW w:type="dxa" w:w="1616"/>
            <w:tcMar>
              <w:top w:w="50" w:type="dxa"/>
              <w:start w:w="50" w:type="dxa"/>
              <w:bottom w:w="50" w:type="dxa"/>
              <w:end w:w="50" w:type="dxa"/>
            </w:tcMar>
            <w:vAlign w:val="center"/>
          </w:tcPr>
          <w:p>
            <w:r>
              <w:rPr>
                <w:rFonts w:ascii="Aptos" w:hAnsi="Aptos"/>
                <w:sz w:val="13"/>
              </w:rPr>
              <w:t>4,000,000</w:t>
            </w:r>
          </w:p>
        </w:tc>
        <w:tc>
          <w:tcPr>
            <w:tcW w:type="dxa" w:w="1616"/>
            <w:tcMar>
              <w:top w:w="50" w:type="dxa"/>
              <w:start w:w="50" w:type="dxa"/>
              <w:bottom w:w="50" w:type="dxa"/>
              <w:end w:w="50" w:type="dxa"/>
            </w:tcMar>
            <w:vAlign w:val="center"/>
          </w:tcPr>
          <w:p>
            <w:r>
              <w:rPr>
                <w:rFonts w:ascii="Aptos" w:hAnsi="Aptos"/>
                <w:sz w:val="13"/>
              </w:rPr>
              <w:t>2,000,000</w:t>
            </w:r>
          </w:p>
        </w:tc>
        <w:tc>
          <w:tcPr>
            <w:tcW w:type="dxa" w:w="1616"/>
            <w:tcMar>
              <w:top w:w="50" w:type="dxa"/>
              <w:start w:w="50" w:type="dxa"/>
              <w:bottom w:w="50" w:type="dxa"/>
              <w:end w:w="50" w:type="dxa"/>
            </w:tcMar>
            <w:vAlign w:val="center"/>
          </w:tcPr>
          <w:p>
            <w:r>
              <w:rPr>
                <w:rFonts w:ascii="Aptos" w:hAnsi="Aptos"/>
                <w:sz w:val="13"/>
              </w:rPr>
              <w:t>1,500,000</w:t>
            </w:r>
          </w:p>
        </w:tc>
        <w:tc>
          <w:tcPr>
            <w:tcW w:type="dxa" w:w="1616"/>
            <w:tcMar>
              <w:top w:w="50" w:type="dxa"/>
              <w:start w:w="50" w:type="dxa"/>
              <w:bottom w:w="50" w:type="dxa"/>
              <w:end w:w="50" w:type="dxa"/>
            </w:tcMar>
            <w:vAlign w:val="center"/>
          </w:tcPr>
          <w:p>
            <w:r>
              <w:rPr>
                <w:rFonts w:ascii="Aptos" w:hAnsi="Aptos"/>
                <w:sz w:val="13"/>
              </w:rPr>
              <w:t>500,000</w:t>
            </w:r>
          </w:p>
        </w:tc>
        <w:tc>
          <w:tcPr>
            <w:tcW w:type="dxa" w:w="1616"/>
            <w:tcMar>
              <w:top w:w="50" w:type="dxa"/>
              <w:start w:w="50" w:type="dxa"/>
              <w:bottom w:w="50" w:type="dxa"/>
              <w:end w:w="50" w:type="dxa"/>
            </w:tcMar>
            <w:vAlign w:val="center"/>
          </w:tcPr>
          <w:p>
            <w:r>
              <w:rPr>
                <w:rFonts w:ascii="Aptos" w:hAnsi="Aptos"/>
                <w:sz w:val="13"/>
              </w:rPr>
              <w:t>4,000,000</w:t>
            </w:r>
          </w:p>
        </w:tc>
      </w:tr>
      <w:tr>
        <w:tc>
          <w:tcPr>
            <w:tcW w:type="dxa" w:w="1616"/>
            <w:shd w:fill="F7F9FB"/>
            <w:tcMar>
              <w:top w:w="50" w:type="dxa"/>
              <w:start w:w="50" w:type="dxa"/>
              <w:bottom w:w="50" w:type="dxa"/>
              <w:end w:w="50" w:type="dxa"/>
            </w:tcMar>
            <w:vAlign w:val="center"/>
          </w:tcPr>
          <w:p>
            <w:r>
              <w:rPr>
                <w:rFonts w:ascii="Aptos" w:hAnsi="Aptos"/>
                <w:sz w:val="13"/>
              </w:rPr>
              <w:t>5.5</w:t>
            </w:r>
          </w:p>
        </w:tc>
        <w:tc>
          <w:tcPr>
            <w:tcW w:type="dxa" w:w="1616"/>
            <w:shd w:fill="F7F9FB"/>
            <w:tcMar>
              <w:top w:w="50" w:type="dxa"/>
              <w:start w:w="50" w:type="dxa"/>
              <w:bottom w:w="50" w:type="dxa"/>
              <w:end w:w="50" w:type="dxa"/>
            </w:tcMar>
            <w:vAlign w:val="center"/>
          </w:tcPr>
          <w:p>
            <w:r>
              <w:rPr>
                <w:rFonts w:ascii="Aptos" w:hAnsi="Aptos"/>
                <w:sz w:val="13"/>
              </w:rPr>
              <w:t>Contracts, orders, delivery, payment-reference and community-grant modules</w:t>
            </w:r>
          </w:p>
        </w:tc>
        <w:tc>
          <w:tcPr>
            <w:tcW w:type="dxa" w:w="1616"/>
            <w:shd w:fill="F7F9FB"/>
            <w:tcMar>
              <w:top w:w="50" w:type="dxa"/>
              <w:start w:w="50" w:type="dxa"/>
              <w:bottom w:w="50" w:type="dxa"/>
              <w:end w:w="50" w:type="dxa"/>
            </w:tcMar>
            <w:vAlign w:val="center"/>
          </w:tcPr>
          <w:p>
            <w:r>
              <w:rPr>
                <w:rFonts w:ascii="Aptos" w:hAnsi="Aptos"/>
                <w:sz w:val="13"/>
              </w:rPr>
              <w:t>build</w:t>
            </w:r>
          </w:p>
        </w:tc>
        <w:tc>
          <w:tcPr>
            <w:tcW w:type="dxa" w:w="1616"/>
            <w:shd w:fill="F7F9FB"/>
            <w:tcMar>
              <w:top w:w="50" w:type="dxa"/>
              <w:start w:w="50" w:type="dxa"/>
              <w:bottom w:w="50" w:type="dxa"/>
              <w:end w:w="50" w:type="dxa"/>
            </w:tcMar>
            <w:vAlign w:val="center"/>
          </w:tcPr>
          <w:p>
            <w:r>
              <w:rPr>
                <w:rFonts w:ascii="Aptos" w:hAnsi="Aptos"/>
                <w:sz w:val="13"/>
              </w:rPr>
              <w:t>1</w:t>
            </w:r>
          </w:p>
        </w:tc>
        <w:tc>
          <w:tcPr>
            <w:tcW w:type="dxa" w:w="1616"/>
            <w:shd w:fill="F7F9FB"/>
            <w:tcMar>
              <w:top w:w="50" w:type="dxa"/>
              <w:start w:w="50" w:type="dxa"/>
              <w:bottom w:w="50" w:type="dxa"/>
              <w:end w:w="50" w:type="dxa"/>
            </w:tcMar>
            <w:vAlign w:val="center"/>
          </w:tcPr>
          <w:p>
            <w:r>
              <w:rPr>
                <w:rFonts w:ascii="Aptos" w:hAnsi="Aptos"/>
                <w:sz w:val="13"/>
              </w:rPr>
              <w:t>3,000,000</w:t>
            </w:r>
          </w:p>
        </w:tc>
        <w:tc>
          <w:tcPr>
            <w:tcW w:type="dxa" w:w="1616"/>
            <w:shd w:fill="F7F9FB"/>
            <w:tcMar>
              <w:top w:w="50" w:type="dxa"/>
              <w:start w:w="50" w:type="dxa"/>
              <w:bottom w:w="50" w:type="dxa"/>
              <w:end w:w="50" w:type="dxa"/>
            </w:tcMar>
            <w:vAlign w:val="center"/>
          </w:tcPr>
          <w:p>
            <w:r>
              <w:rPr>
                <w:rFonts w:ascii="Aptos" w:hAnsi="Aptos"/>
                <w:sz w:val="13"/>
              </w:rPr>
              <w:t>1,000,000</w:t>
            </w:r>
          </w:p>
        </w:tc>
        <w:tc>
          <w:tcPr>
            <w:tcW w:type="dxa" w:w="1616"/>
            <w:shd w:fill="F7F9FB"/>
            <w:tcMar>
              <w:top w:w="50" w:type="dxa"/>
              <w:start w:w="50" w:type="dxa"/>
              <w:bottom w:w="50" w:type="dxa"/>
              <w:end w:w="50" w:type="dxa"/>
            </w:tcMar>
            <w:vAlign w:val="center"/>
          </w:tcPr>
          <w:p>
            <w:r>
              <w:rPr>
                <w:rFonts w:ascii="Aptos" w:hAnsi="Aptos"/>
                <w:sz w:val="13"/>
              </w:rPr>
              <w:t>1,500,000</w:t>
            </w:r>
          </w:p>
        </w:tc>
        <w:tc>
          <w:tcPr>
            <w:tcW w:type="dxa" w:w="1616"/>
            <w:shd w:fill="F7F9FB"/>
            <w:tcMar>
              <w:top w:w="50" w:type="dxa"/>
              <w:start w:w="50" w:type="dxa"/>
              <w:bottom w:w="50" w:type="dxa"/>
              <w:end w:w="50" w:type="dxa"/>
            </w:tcMar>
            <w:vAlign w:val="center"/>
          </w:tcPr>
          <w:p>
            <w:r>
              <w:rPr>
                <w:rFonts w:ascii="Aptos" w:hAnsi="Aptos"/>
                <w:sz w:val="13"/>
              </w:rPr>
              <w:t>500,000</w:t>
            </w:r>
          </w:p>
        </w:tc>
        <w:tc>
          <w:tcPr>
            <w:tcW w:type="dxa" w:w="1616"/>
            <w:shd w:fill="F7F9FB"/>
            <w:tcMar>
              <w:top w:w="50" w:type="dxa"/>
              <w:start w:w="50" w:type="dxa"/>
              <w:bottom w:w="50" w:type="dxa"/>
              <w:end w:w="50" w:type="dxa"/>
            </w:tcMar>
            <w:vAlign w:val="center"/>
          </w:tcPr>
          <w:p>
            <w:r>
              <w:rPr>
                <w:rFonts w:ascii="Aptos" w:hAnsi="Aptos"/>
                <w:sz w:val="13"/>
              </w:rPr>
              <w:t>3,000,000</w:t>
            </w:r>
          </w:p>
        </w:tc>
      </w:tr>
      <w:tr>
        <w:tc>
          <w:tcPr>
            <w:tcW w:type="dxa" w:w="1616"/>
            <w:tcMar>
              <w:top w:w="50" w:type="dxa"/>
              <w:start w:w="50" w:type="dxa"/>
              <w:bottom w:w="50" w:type="dxa"/>
              <w:end w:w="50" w:type="dxa"/>
            </w:tcMar>
            <w:vAlign w:val="center"/>
          </w:tcPr>
          <w:p>
            <w:r>
              <w:rPr>
                <w:rFonts w:ascii="Aptos" w:hAnsi="Aptos"/>
                <w:sz w:val="13"/>
              </w:rPr>
              <w:t>5.6</w:t>
            </w:r>
          </w:p>
        </w:tc>
        <w:tc>
          <w:tcPr>
            <w:tcW w:type="dxa" w:w="1616"/>
            <w:tcMar>
              <w:top w:w="50" w:type="dxa"/>
              <w:start w:w="50" w:type="dxa"/>
              <w:bottom w:w="50" w:type="dxa"/>
              <w:end w:w="50" w:type="dxa"/>
            </w:tcMar>
            <w:vAlign w:val="center"/>
          </w:tcPr>
          <w:p>
            <w:r>
              <w:rPr>
                <w:rFonts w:ascii="Aptos" w:hAnsi="Aptos"/>
                <w:sz w:val="13"/>
              </w:rPr>
              <w:t>Cloud hosting, blockchain nodes, backup, monitoring, cybersecurity and maintenance</w:t>
            </w:r>
          </w:p>
        </w:tc>
        <w:tc>
          <w:tcPr>
            <w:tcW w:type="dxa" w:w="1616"/>
            <w:tcMar>
              <w:top w:w="50" w:type="dxa"/>
              <w:start w:w="50" w:type="dxa"/>
              <w:bottom w:w="50" w:type="dxa"/>
              <w:end w:w="50" w:type="dxa"/>
            </w:tcMar>
            <w:vAlign w:val="center"/>
          </w:tcPr>
          <w:p>
            <w:r>
              <w:rPr>
                <w:rFonts w:ascii="Aptos" w:hAnsi="Aptos"/>
                <w:sz w:val="13"/>
              </w:rPr>
              <w:t>month</w:t>
            </w:r>
          </w:p>
        </w:tc>
        <w:tc>
          <w:tcPr>
            <w:tcW w:type="dxa" w:w="1616"/>
            <w:tcMar>
              <w:top w:w="50" w:type="dxa"/>
              <w:start w:w="50" w:type="dxa"/>
              <w:bottom w:w="50" w:type="dxa"/>
              <w:end w:w="50" w:type="dxa"/>
            </w:tcMar>
            <w:vAlign w:val="center"/>
          </w:tcPr>
          <w:p>
            <w:r>
              <w:rPr>
                <w:rFonts w:ascii="Aptos" w:hAnsi="Aptos"/>
                <w:sz w:val="13"/>
              </w:rPr>
              <w:t>36</w:t>
            </w:r>
          </w:p>
        </w:tc>
        <w:tc>
          <w:tcPr>
            <w:tcW w:type="dxa" w:w="1616"/>
            <w:tcMar>
              <w:top w:w="50" w:type="dxa"/>
              <w:start w:w="50" w:type="dxa"/>
              <w:bottom w:w="50" w:type="dxa"/>
              <w:end w:w="50" w:type="dxa"/>
            </w:tcMar>
            <w:vAlign w:val="center"/>
          </w:tcPr>
          <w:p>
            <w:r>
              <w:rPr>
                <w:rFonts w:ascii="Aptos" w:hAnsi="Aptos"/>
                <w:sz w:val="13"/>
              </w:rPr>
              <w:t>100,000</w:t>
            </w:r>
          </w:p>
        </w:tc>
        <w:tc>
          <w:tcPr>
            <w:tcW w:type="dxa" w:w="1616"/>
            <w:tcMar>
              <w:top w:w="50" w:type="dxa"/>
              <w:start w:w="50" w:type="dxa"/>
              <w:bottom w:w="50" w:type="dxa"/>
              <w:end w:w="50" w:type="dxa"/>
            </w:tcMar>
            <w:vAlign w:val="center"/>
          </w:tcPr>
          <w:p>
            <w:r>
              <w:rPr>
                <w:rFonts w:ascii="Aptos" w:hAnsi="Aptos"/>
                <w:sz w:val="13"/>
              </w:rPr>
              <w:t>500,000</w:t>
            </w:r>
          </w:p>
        </w:tc>
        <w:tc>
          <w:tcPr>
            <w:tcW w:type="dxa" w:w="1616"/>
            <w:tcMar>
              <w:top w:w="50" w:type="dxa"/>
              <w:start w:w="50" w:type="dxa"/>
              <w:bottom w:w="50" w:type="dxa"/>
              <w:end w:w="50" w:type="dxa"/>
            </w:tcMar>
            <w:vAlign w:val="center"/>
          </w:tcPr>
          <w:p>
            <w:r>
              <w:rPr>
                <w:rFonts w:ascii="Aptos" w:hAnsi="Aptos"/>
                <w:sz w:val="13"/>
              </w:rPr>
              <w:t>1,200,000</w:t>
            </w:r>
          </w:p>
        </w:tc>
        <w:tc>
          <w:tcPr>
            <w:tcW w:type="dxa" w:w="1616"/>
            <w:tcMar>
              <w:top w:w="50" w:type="dxa"/>
              <w:start w:w="50" w:type="dxa"/>
              <w:bottom w:w="50" w:type="dxa"/>
              <w:end w:w="50" w:type="dxa"/>
            </w:tcMar>
            <w:vAlign w:val="center"/>
          </w:tcPr>
          <w:p>
            <w:r>
              <w:rPr>
                <w:rFonts w:ascii="Aptos" w:hAnsi="Aptos"/>
                <w:sz w:val="13"/>
              </w:rPr>
              <w:t>1,900,000</w:t>
            </w:r>
          </w:p>
        </w:tc>
        <w:tc>
          <w:tcPr>
            <w:tcW w:type="dxa" w:w="1616"/>
            <w:tcMar>
              <w:top w:w="50" w:type="dxa"/>
              <w:start w:w="50" w:type="dxa"/>
              <w:bottom w:w="50" w:type="dxa"/>
              <w:end w:w="50" w:type="dxa"/>
            </w:tcMar>
            <w:vAlign w:val="center"/>
          </w:tcPr>
          <w:p>
            <w:r>
              <w:rPr>
                <w:rFonts w:ascii="Aptos" w:hAnsi="Aptos"/>
                <w:sz w:val="13"/>
              </w:rPr>
              <w:t>3,600,000</w:t>
            </w:r>
          </w:p>
        </w:tc>
      </w:tr>
      <w:tr>
        <w:tc>
          <w:tcPr>
            <w:tcW w:type="dxa" w:w="1616"/>
            <w:shd w:fill="F7F9FB"/>
            <w:tcMar>
              <w:top w:w="50" w:type="dxa"/>
              <w:start w:w="50" w:type="dxa"/>
              <w:bottom w:w="50" w:type="dxa"/>
              <w:end w:w="50" w:type="dxa"/>
            </w:tcMar>
            <w:vAlign w:val="center"/>
          </w:tcPr>
          <w:p>
            <w:r>
              <w:rPr>
                <w:rFonts w:ascii="Aptos" w:hAnsi="Aptos"/>
                <w:sz w:val="13"/>
              </w:rPr>
              <w:t>5.7</w:t>
            </w:r>
          </w:p>
        </w:tc>
        <w:tc>
          <w:tcPr>
            <w:tcW w:type="dxa" w:w="1616"/>
            <w:shd w:fill="F7F9FB"/>
            <w:tcMar>
              <w:top w:w="50" w:type="dxa"/>
              <w:start w:w="50" w:type="dxa"/>
              <w:bottom w:w="50" w:type="dxa"/>
              <w:end w:w="50" w:type="dxa"/>
            </w:tcMar>
            <w:vAlign w:val="center"/>
          </w:tcPr>
          <w:p>
            <w:r>
              <w:rPr>
                <w:rFonts w:ascii="Aptos" w:hAnsi="Aptos"/>
                <w:sz w:val="13"/>
              </w:rPr>
              <w:t>Field hardware: tablets, scanners, label printers, secure keys and connectivity kits</w:t>
            </w:r>
          </w:p>
        </w:tc>
        <w:tc>
          <w:tcPr>
            <w:tcW w:type="dxa" w:w="1616"/>
            <w:shd w:fill="F7F9FB"/>
            <w:tcMar>
              <w:top w:w="50" w:type="dxa"/>
              <w:start w:w="50" w:type="dxa"/>
              <w:bottom w:w="50" w:type="dxa"/>
              <w:end w:w="50" w:type="dxa"/>
            </w:tcMar>
            <w:vAlign w:val="center"/>
          </w:tcPr>
          <w:p>
            <w:r>
              <w:rPr>
                <w:rFonts w:ascii="Aptos" w:hAnsi="Aptos"/>
                <w:sz w:val="13"/>
              </w:rPr>
              <w:t>kit</w:t>
            </w:r>
          </w:p>
        </w:tc>
        <w:tc>
          <w:tcPr>
            <w:tcW w:type="dxa" w:w="1616"/>
            <w:shd w:fill="F7F9FB"/>
            <w:tcMar>
              <w:top w:w="50" w:type="dxa"/>
              <w:start w:w="50" w:type="dxa"/>
              <w:bottom w:w="50" w:type="dxa"/>
              <w:end w:w="50" w:type="dxa"/>
            </w:tcMar>
            <w:vAlign w:val="center"/>
          </w:tcPr>
          <w:p>
            <w:r>
              <w:rPr>
                <w:rFonts w:ascii="Aptos" w:hAnsi="Aptos"/>
                <w:sz w:val="13"/>
              </w:rPr>
              <w:t>20</w:t>
            </w:r>
          </w:p>
        </w:tc>
        <w:tc>
          <w:tcPr>
            <w:tcW w:type="dxa" w:w="1616"/>
            <w:shd w:fill="F7F9FB"/>
            <w:tcMar>
              <w:top w:w="50" w:type="dxa"/>
              <w:start w:w="50" w:type="dxa"/>
              <w:bottom w:w="50" w:type="dxa"/>
              <w:end w:w="50" w:type="dxa"/>
            </w:tcMar>
            <w:vAlign w:val="center"/>
          </w:tcPr>
          <w:p>
            <w:r>
              <w:rPr>
                <w:rFonts w:ascii="Aptos" w:hAnsi="Aptos"/>
                <w:sz w:val="13"/>
              </w:rPr>
              <w:t>150,000</w:t>
            </w:r>
          </w:p>
        </w:tc>
        <w:tc>
          <w:tcPr>
            <w:tcW w:type="dxa" w:w="1616"/>
            <w:shd w:fill="F7F9FB"/>
            <w:tcMar>
              <w:top w:w="50" w:type="dxa"/>
              <w:start w:w="50" w:type="dxa"/>
              <w:bottom w:w="50" w:type="dxa"/>
              <w:end w:w="50" w:type="dxa"/>
            </w:tcMar>
            <w:vAlign w:val="center"/>
          </w:tcPr>
          <w:p>
            <w:r>
              <w:rPr>
                <w:rFonts w:ascii="Aptos" w:hAnsi="Aptos"/>
                <w:sz w:val="13"/>
              </w:rPr>
              <w:t>700,000</w:t>
            </w:r>
          </w:p>
        </w:tc>
        <w:tc>
          <w:tcPr>
            <w:tcW w:type="dxa" w:w="1616"/>
            <w:shd w:fill="F7F9FB"/>
            <w:tcMar>
              <w:top w:w="50" w:type="dxa"/>
              <w:start w:w="50" w:type="dxa"/>
              <w:bottom w:w="50" w:type="dxa"/>
              <w:end w:w="50" w:type="dxa"/>
            </w:tcMar>
            <w:vAlign w:val="center"/>
          </w:tcPr>
          <w:p>
            <w:r>
              <w:rPr>
                <w:rFonts w:ascii="Aptos" w:hAnsi="Aptos"/>
                <w:sz w:val="13"/>
              </w:rPr>
              <w:t>1,600,000</w:t>
            </w:r>
          </w:p>
        </w:tc>
        <w:tc>
          <w:tcPr>
            <w:tcW w:type="dxa" w:w="1616"/>
            <w:shd w:fill="F7F9FB"/>
            <w:tcMar>
              <w:top w:w="50" w:type="dxa"/>
              <w:start w:w="50" w:type="dxa"/>
              <w:bottom w:w="50" w:type="dxa"/>
              <w:end w:w="50" w:type="dxa"/>
            </w:tcMar>
            <w:vAlign w:val="center"/>
          </w:tcPr>
          <w:p>
            <w:r>
              <w:rPr>
                <w:rFonts w:ascii="Aptos" w:hAnsi="Aptos"/>
                <w:sz w:val="13"/>
              </w:rPr>
              <w:t>700,000</w:t>
            </w:r>
          </w:p>
        </w:tc>
        <w:tc>
          <w:tcPr>
            <w:tcW w:type="dxa" w:w="1616"/>
            <w:shd w:fill="F7F9FB"/>
            <w:tcMar>
              <w:top w:w="50" w:type="dxa"/>
              <w:start w:w="50" w:type="dxa"/>
              <w:bottom w:w="50" w:type="dxa"/>
              <w:end w:w="50" w:type="dxa"/>
            </w:tcMar>
            <w:vAlign w:val="center"/>
          </w:tcPr>
          <w:p>
            <w:r>
              <w:rPr>
                <w:rFonts w:ascii="Aptos" w:hAnsi="Aptos"/>
                <w:sz w:val="13"/>
              </w:rPr>
              <w:t>3,000,000</w:t>
            </w:r>
          </w:p>
        </w:tc>
      </w:tr>
      <w:tr>
        <w:tc>
          <w:tcPr>
            <w:tcW w:type="dxa" w:w="1616"/>
            <w:tcMar>
              <w:top w:w="50" w:type="dxa"/>
              <w:start w:w="50" w:type="dxa"/>
              <w:bottom w:w="50" w:type="dxa"/>
              <w:end w:w="50" w:type="dxa"/>
            </w:tcMar>
            <w:vAlign w:val="center"/>
          </w:tcPr>
          <w:p>
            <w:r>
              <w:rPr>
                <w:rFonts w:ascii="Aptos" w:hAnsi="Aptos"/>
                <w:sz w:val="13"/>
              </w:rPr>
              <w:t>5.8</w:t>
            </w:r>
          </w:p>
        </w:tc>
        <w:tc>
          <w:tcPr>
            <w:tcW w:type="dxa" w:w="1616"/>
            <w:tcMar>
              <w:top w:w="50" w:type="dxa"/>
              <w:start w:w="50" w:type="dxa"/>
              <w:bottom w:w="50" w:type="dxa"/>
              <w:end w:w="50" w:type="dxa"/>
            </w:tcMar>
            <w:vAlign w:val="center"/>
          </w:tcPr>
          <w:p>
            <w:r>
              <w:rPr>
                <w:rFonts w:ascii="Aptos" w:hAnsi="Aptos"/>
                <w:sz w:val="13"/>
              </w:rPr>
              <w:t>Integration, UAT, penetration, smart-contract and blockchain configuration audit</w:t>
            </w:r>
          </w:p>
        </w:tc>
        <w:tc>
          <w:tcPr>
            <w:tcW w:type="dxa" w:w="1616"/>
            <w:tcMar>
              <w:top w:w="50" w:type="dxa"/>
              <w:start w:w="50" w:type="dxa"/>
              <w:bottom w:w="50" w:type="dxa"/>
              <w:end w:w="50" w:type="dxa"/>
            </w:tcMar>
            <w:vAlign w:val="center"/>
          </w:tcPr>
          <w:p>
            <w:r>
              <w:rPr>
                <w:rFonts w:ascii="Aptos" w:hAnsi="Aptos"/>
                <w:sz w:val="13"/>
              </w:rPr>
              <w:t>package</w:t>
            </w:r>
          </w:p>
        </w:tc>
        <w:tc>
          <w:tcPr>
            <w:tcW w:type="dxa" w:w="1616"/>
            <w:tcMar>
              <w:top w:w="50" w:type="dxa"/>
              <w:start w:w="50" w:type="dxa"/>
              <w:bottom w:w="50" w:type="dxa"/>
              <w:end w:w="50" w:type="dxa"/>
            </w:tcMar>
            <w:vAlign w:val="center"/>
          </w:tcPr>
          <w:p>
            <w:r>
              <w:rPr>
                <w:rFonts w:ascii="Aptos" w:hAnsi="Aptos"/>
                <w:sz w:val="13"/>
              </w:rPr>
              <w:t>1</w:t>
            </w:r>
          </w:p>
        </w:tc>
        <w:tc>
          <w:tcPr>
            <w:tcW w:type="dxa" w:w="1616"/>
            <w:tcMar>
              <w:top w:w="50" w:type="dxa"/>
              <w:start w:w="50" w:type="dxa"/>
              <w:bottom w:w="50" w:type="dxa"/>
              <w:end w:w="50" w:type="dxa"/>
            </w:tcMar>
            <w:vAlign w:val="center"/>
          </w:tcPr>
          <w:p>
            <w:r>
              <w:rPr>
                <w:rFonts w:ascii="Aptos" w:hAnsi="Aptos"/>
                <w:sz w:val="13"/>
              </w:rPr>
              <w:t>1,400,000</w:t>
            </w:r>
          </w:p>
        </w:tc>
        <w:tc>
          <w:tcPr>
            <w:tcW w:type="dxa" w:w="1616"/>
            <w:tcMar>
              <w:top w:w="50" w:type="dxa"/>
              <w:start w:w="50" w:type="dxa"/>
              <w:bottom w:w="50" w:type="dxa"/>
              <w:end w:w="50" w:type="dxa"/>
            </w:tcMar>
            <w:vAlign w:val="center"/>
          </w:tcPr>
          <w:p>
            <w:r>
              <w:rPr>
                <w:rFonts w:ascii="Aptos" w:hAnsi="Aptos"/>
                <w:sz w:val="13"/>
              </w:rPr>
              <w:t>300,000</w:t>
            </w:r>
          </w:p>
        </w:tc>
        <w:tc>
          <w:tcPr>
            <w:tcW w:type="dxa" w:w="1616"/>
            <w:tcMar>
              <w:top w:w="50" w:type="dxa"/>
              <w:start w:w="50" w:type="dxa"/>
              <w:bottom w:w="50" w:type="dxa"/>
              <w:end w:w="50" w:type="dxa"/>
            </w:tcMar>
            <w:vAlign w:val="center"/>
          </w:tcPr>
          <w:p>
            <w:r>
              <w:rPr>
                <w:rFonts w:ascii="Aptos" w:hAnsi="Aptos"/>
                <w:sz w:val="13"/>
              </w:rPr>
              <w:t>1,100,000</w:t>
            </w:r>
          </w:p>
        </w:tc>
        <w:tc>
          <w:tcPr>
            <w:tcW w:type="dxa" w:w="1616"/>
            <w:tcMar>
              <w:top w:w="50" w:type="dxa"/>
              <w:start w:w="50" w:type="dxa"/>
              <w:bottom w:w="50" w:type="dxa"/>
              <w:end w:w="50" w:type="dxa"/>
            </w:tcMar>
            <w:vAlign w:val="center"/>
          </w:tcPr>
          <w:p>
            <w:r>
              <w:rPr>
                <w:rFonts w:ascii="Aptos" w:hAnsi="Aptos"/>
                <w:sz w:val="13"/>
              </w:rPr>
              <w:t>0</w:t>
            </w:r>
          </w:p>
        </w:tc>
        <w:tc>
          <w:tcPr>
            <w:tcW w:type="dxa" w:w="1616"/>
            <w:tcMar>
              <w:top w:w="50" w:type="dxa"/>
              <w:start w:w="50" w:type="dxa"/>
              <w:bottom w:w="50" w:type="dxa"/>
              <w:end w:w="50" w:type="dxa"/>
            </w:tcMar>
            <w:vAlign w:val="center"/>
          </w:tcPr>
          <w:p>
            <w:r>
              <w:rPr>
                <w:rFonts w:ascii="Aptos" w:hAnsi="Aptos"/>
                <w:sz w:val="13"/>
              </w:rPr>
              <w:t>1,400,000</w:t>
            </w:r>
          </w:p>
        </w:tc>
      </w:tr>
      <w:tr>
        <w:tc>
          <w:tcPr>
            <w:tcW w:type="dxa" w:w="1616"/>
            <w:shd w:fill="F7F9FB"/>
            <w:tcMar>
              <w:top w:w="50" w:type="dxa"/>
              <w:start w:w="50" w:type="dxa"/>
              <w:bottom w:w="50" w:type="dxa"/>
              <w:end w:w="50" w:type="dxa"/>
            </w:tcMar>
            <w:vAlign w:val="center"/>
          </w:tcPr>
          <w:p>
            <w:r>
              <w:rPr>
                <w:rFonts w:ascii="Aptos" w:hAnsi="Aptos"/>
                <w:sz w:val="13"/>
              </w:rPr>
              <w:t>5.9</w:t>
            </w:r>
          </w:p>
        </w:tc>
        <w:tc>
          <w:tcPr>
            <w:tcW w:type="dxa" w:w="1616"/>
            <w:shd w:fill="F7F9FB"/>
            <w:tcMar>
              <w:top w:w="50" w:type="dxa"/>
              <w:start w:w="50" w:type="dxa"/>
              <w:bottom w:w="50" w:type="dxa"/>
              <w:end w:w="50" w:type="dxa"/>
            </w:tcMar>
            <w:vAlign w:val="center"/>
          </w:tcPr>
          <w:p>
            <w:r>
              <w:rPr>
                <w:rFonts w:ascii="Aptos" w:hAnsi="Aptos"/>
                <w:sz w:val="13"/>
              </w:rPr>
              <w:t>User, administrator and key-custodian training; documentation and handover</w:t>
            </w:r>
          </w:p>
        </w:tc>
        <w:tc>
          <w:tcPr>
            <w:tcW w:type="dxa" w:w="1616"/>
            <w:shd w:fill="F7F9FB"/>
            <w:tcMar>
              <w:top w:w="50" w:type="dxa"/>
              <w:start w:w="50" w:type="dxa"/>
              <w:bottom w:w="50" w:type="dxa"/>
              <w:end w:w="50" w:type="dxa"/>
            </w:tcMar>
            <w:vAlign w:val="center"/>
          </w:tcPr>
          <w:p>
            <w:r>
              <w:rPr>
                <w:rFonts w:ascii="Aptos" w:hAnsi="Aptos"/>
                <w:sz w:val="13"/>
              </w:rPr>
              <w:t>package</w:t>
            </w:r>
          </w:p>
        </w:tc>
        <w:tc>
          <w:tcPr>
            <w:tcW w:type="dxa" w:w="1616"/>
            <w:shd w:fill="F7F9FB"/>
            <w:tcMar>
              <w:top w:w="50" w:type="dxa"/>
              <w:start w:w="50" w:type="dxa"/>
              <w:bottom w:w="50" w:type="dxa"/>
              <w:end w:w="50" w:type="dxa"/>
            </w:tcMar>
            <w:vAlign w:val="center"/>
          </w:tcPr>
          <w:p>
            <w:r>
              <w:rPr>
                <w:rFonts w:ascii="Aptos" w:hAnsi="Aptos"/>
                <w:sz w:val="13"/>
              </w:rPr>
              <w:t>1</w:t>
            </w:r>
          </w:p>
        </w:tc>
        <w:tc>
          <w:tcPr>
            <w:tcW w:type="dxa" w:w="1616"/>
            <w:shd w:fill="F7F9FB"/>
            <w:tcMar>
              <w:top w:w="50" w:type="dxa"/>
              <w:start w:w="50" w:type="dxa"/>
              <w:bottom w:w="50" w:type="dxa"/>
              <w:end w:w="50" w:type="dxa"/>
            </w:tcMar>
            <w:vAlign w:val="center"/>
          </w:tcPr>
          <w:p>
            <w:r>
              <w:rPr>
                <w:rFonts w:ascii="Aptos" w:hAnsi="Aptos"/>
                <w:sz w:val="13"/>
              </w:rPr>
              <w:t>500,000</w:t>
            </w:r>
          </w:p>
        </w:tc>
        <w:tc>
          <w:tcPr>
            <w:tcW w:type="dxa" w:w="1616"/>
            <w:shd w:fill="F7F9FB"/>
            <w:tcMar>
              <w:top w:w="50" w:type="dxa"/>
              <w:start w:w="50" w:type="dxa"/>
              <w:bottom w:w="50" w:type="dxa"/>
              <w:end w:w="50" w:type="dxa"/>
            </w:tcMar>
            <w:vAlign w:val="center"/>
          </w:tcPr>
          <w:p>
            <w:r>
              <w:rPr>
                <w:rFonts w:ascii="Aptos" w:hAnsi="Aptos"/>
                <w:sz w:val="13"/>
              </w:rPr>
              <w:t>0</w:t>
            </w:r>
          </w:p>
        </w:tc>
        <w:tc>
          <w:tcPr>
            <w:tcW w:type="dxa" w:w="1616"/>
            <w:shd w:fill="F7F9FB"/>
            <w:tcMar>
              <w:top w:w="50" w:type="dxa"/>
              <w:start w:w="50" w:type="dxa"/>
              <w:bottom w:w="50" w:type="dxa"/>
              <w:end w:w="50" w:type="dxa"/>
            </w:tcMar>
            <w:vAlign w:val="center"/>
          </w:tcPr>
          <w:p>
            <w:r>
              <w:rPr>
                <w:rFonts w:ascii="Aptos" w:hAnsi="Aptos"/>
                <w:sz w:val="13"/>
              </w:rPr>
              <w:t>500,000</w:t>
            </w:r>
          </w:p>
        </w:tc>
        <w:tc>
          <w:tcPr>
            <w:tcW w:type="dxa" w:w="1616"/>
            <w:shd w:fill="F7F9FB"/>
            <w:tcMar>
              <w:top w:w="50" w:type="dxa"/>
              <w:start w:w="50" w:type="dxa"/>
              <w:bottom w:w="50" w:type="dxa"/>
              <w:end w:w="50" w:type="dxa"/>
            </w:tcMar>
            <w:vAlign w:val="center"/>
          </w:tcPr>
          <w:p>
            <w:r>
              <w:rPr>
                <w:rFonts w:ascii="Aptos" w:hAnsi="Aptos"/>
                <w:sz w:val="13"/>
              </w:rPr>
              <w:t>0</w:t>
            </w:r>
          </w:p>
        </w:tc>
        <w:tc>
          <w:tcPr>
            <w:tcW w:type="dxa" w:w="1616"/>
            <w:shd w:fill="F7F9FB"/>
            <w:tcMar>
              <w:top w:w="50" w:type="dxa"/>
              <w:start w:w="50" w:type="dxa"/>
              <w:bottom w:w="50" w:type="dxa"/>
              <w:end w:w="50" w:type="dxa"/>
            </w:tcMar>
            <w:vAlign w:val="center"/>
          </w:tcPr>
          <w:p>
            <w:r>
              <w:rPr>
                <w:rFonts w:ascii="Aptos" w:hAnsi="Aptos"/>
                <w:sz w:val="13"/>
              </w:rPr>
              <w:t>500,000</w:t>
            </w:r>
          </w:p>
        </w:tc>
      </w:tr>
      <w:tr>
        <w:trPr>
          <w:cantSplit/>
          <w:cantSplit/>
        </w:trPr>
        <w:tc>
          <w:tcPr>
            <w:tcW w:type="dxa" w:w="8080"/>
            <w:gridSpan w:val="5"/>
            <w:vAlign w:val="center"/>
            <w:tcMar>
              <w:top w:w="50" w:type="dxa"/>
              <w:start w:w="50" w:type="dxa"/>
              <w:bottom w:w="50" w:type="dxa"/>
              <w:end w:w="50" w:type="dxa"/>
            </w:tcMar>
            <w:shd w:fill="EDF3F8"/>
          </w:tcPr>
          <w:p>
            <w:r>
              <w:rPr>
                <w:rFonts w:ascii="Aptos" w:hAnsi="Aptos"/>
                <w:sz w:val="13"/>
              </w:rPr>
              <w:t>Subtotal 5: Digital platform, permissioned blockchain and integrations — Afrisol Technologies Limited</w:t>
            </w:r>
          </w:p>
        </w:tc>
        <w:tc>
          <w:tcPr>
            <w:tcW w:type="dxa" w:w="1616"/>
            <w:vAlign w:val="center"/>
            <w:tcMar>
              <w:top w:w="50" w:type="dxa"/>
              <w:start w:w="50" w:type="dxa"/>
              <w:bottom w:w="50" w:type="dxa"/>
              <w:end w:w="50" w:type="dxa"/>
            </w:tcMar>
            <w:shd w:fill="EDF3F8"/>
          </w:tcPr>
          <w:p>
            <w:r>
              <w:rPr>
                <w:rFonts w:ascii="Aptos" w:hAnsi="Aptos"/>
                <w:sz w:val="13"/>
              </w:rPr>
              <w:t>12,000,000</w:t>
            </w:r>
          </w:p>
        </w:tc>
        <w:tc>
          <w:tcPr>
            <w:tcW w:type="dxa" w:w="1616"/>
            <w:vAlign w:val="center"/>
            <w:tcMar>
              <w:top w:w="50" w:type="dxa"/>
              <w:start w:w="50" w:type="dxa"/>
              <w:bottom w:w="50" w:type="dxa"/>
              <w:end w:w="50" w:type="dxa"/>
            </w:tcMar>
            <w:shd w:fill="EDF3F8"/>
          </w:tcPr>
          <w:p>
            <w:r>
              <w:rPr>
                <w:rFonts w:ascii="Aptos" w:hAnsi="Aptos"/>
                <w:sz w:val="13"/>
              </w:rPr>
              <w:t>9,000,000</w:t>
            </w:r>
          </w:p>
        </w:tc>
        <w:tc>
          <w:tcPr>
            <w:tcW w:type="dxa" w:w="1616"/>
            <w:vAlign w:val="center"/>
            <w:tcMar>
              <w:top w:w="50" w:type="dxa"/>
              <w:start w:w="50" w:type="dxa"/>
              <w:bottom w:w="50" w:type="dxa"/>
              <w:end w:w="50" w:type="dxa"/>
            </w:tcMar>
            <w:shd w:fill="EDF3F8"/>
          </w:tcPr>
          <w:p>
            <w:r>
              <w:rPr>
                <w:rFonts w:ascii="Aptos" w:hAnsi="Aptos"/>
                <w:sz w:val="13"/>
              </w:rPr>
              <w:t>4,000,000</w:t>
            </w:r>
          </w:p>
        </w:tc>
        <w:tc>
          <w:tcPr>
            <w:tcW w:type="dxa" w:w="1616"/>
            <w:vAlign w:val="center"/>
            <w:tcMar>
              <w:top w:w="50" w:type="dxa"/>
              <w:start w:w="50" w:type="dxa"/>
              <w:bottom w:w="50" w:type="dxa"/>
              <w:end w:w="50" w:type="dxa"/>
            </w:tcMar>
            <w:shd w:fill="EDF3F8"/>
          </w:tcPr>
          <w:p>
            <w:r>
              <w:rPr>
                <w:rFonts w:ascii="Aptos" w:hAnsi="Aptos"/>
                <w:sz w:val="13"/>
              </w:rPr>
              <w:t>25,000,000</w:t>
            </w:r>
          </w:p>
        </w:tc>
      </w:tr>
      <w:tr>
        <w:trPr>
          <w:cantSplit/>
          <w:cantSplit/>
        </w:trPr>
        <w:tc>
          <w:tcPr>
            <w:tcW w:type="dxa" w:w="14544"/>
            <w:gridSpan w:val="9"/>
            <w:vAlign w:val="center"/>
            <w:tcMar>
              <w:top w:w="50" w:type="dxa"/>
              <w:start w:w="50" w:type="dxa"/>
              <w:bottom w:w="50" w:type="dxa"/>
              <w:end w:w="50" w:type="dxa"/>
            </w:tcMar>
            <w:shd w:fill="F7F9FB"/>
          </w:tcPr>
          <w:p>
            <w:r>
              <w:rPr>
                <w:rFonts w:ascii="Aptos" w:hAnsi="Aptos"/>
                <w:sz w:val="13"/>
              </w:rPr>
              <w:t>6. Demonstration, processing trials and regulatory compliance (Direct cost; linked to Component 6)</w:t>
            </w:r>
          </w:p>
        </w:tc>
      </w:tr>
      <w:tr>
        <w:trPr>
          <w:cantSplit/>
          <w:cantSplit/>
        </w:trPr>
        <w:tc>
          <w:tcPr>
            <w:tcW w:type="dxa" w:w="438912"/>
            <w:vAlign w:val="center"/>
            <w:tcMar>
              <w:top w:w="50" w:type="dxa"/>
              <w:start w:w="50" w:type="dxa"/>
              <w:bottom w:w="50" w:type="dxa"/>
              <w:end w:w="50" w:type="dxa"/>
            </w:tcMar>
          </w:tcPr>
          <w:p>
            <w:r>
              <w:rPr>
                <w:rFonts w:ascii="Aptos" w:hAnsi="Aptos"/>
                <w:sz w:val="13"/>
              </w:rPr>
              <w:t>6.1</w:t>
            </w:r>
          </w:p>
        </w:tc>
        <w:tc>
          <w:tcPr>
            <w:tcW w:type="dxa" w:w="2971800"/>
            <w:vAlign w:val="center"/>
            <w:tcMar>
              <w:top w:w="50" w:type="dxa"/>
              <w:start w:w="50" w:type="dxa"/>
              <w:bottom w:w="50" w:type="dxa"/>
              <w:end w:w="50" w:type="dxa"/>
            </w:tcMar>
          </w:tcPr>
          <w:p>
            <w:r>
              <w:rPr>
                <w:rFonts w:ascii="Aptos" w:hAnsi="Aptos"/>
                <w:sz w:val="13"/>
              </w:rPr>
              <w:t>Cotton ginning, fibre-quality, textile and garment traceability trials</w:t>
            </w:r>
          </w:p>
        </w:tc>
        <w:tc>
          <w:tcPr>
            <w:tcW w:type="dxa" w:w="603504"/>
            <w:vAlign w:val="center"/>
            <w:tcMar>
              <w:top w:w="50" w:type="dxa"/>
              <w:start w:w="50" w:type="dxa"/>
              <w:bottom w:w="50" w:type="dxa"/>
              <w:end w:w="50" w:type="dxa"/>
            </w:tcMar>
          </w:tcPr>
          <w:p>
            <w:r>
              <w:rPr>
                <w:rFonts w:ascii="Aptos" w:hAnsi="Aptos"/>
                <w:sz w:val="13"/>
              </w:rPr>
              <w:t>trial</w:t>
            </w:r>
          </w:p>
        </w:tc>
        <w:tc>
          <w:tcPr>
            <w:tcW w:type="dxa" w:w="438912"/>
            <w:vAlign w:val="center"/>
            <w:tcMar>
              <w:top w:w="50" w:type="dxa"/>
              <w:start w:w="50" w:type="dxa"/>
              <w:bottom w:w="50" w:type="dxa"/>
              <w:end w:w="50" w:type="dxa"/>
            </w:tcMar>
          </w:tcPr>
          <w:p>
            <w:r>
              <w:rPr>
                <w:rFonts w:ascii="Aptos" w:hAnsi="Aptos"/>
                <w:sz w:val="13"/>
              </w:rPr>
              <w:t>4</w:t>
            </w:r>
          </w:p>
        </w:tc>
        <w:tc>
          <w:tcPr>
            <w:tcW w:type="dxa" w:w="841248"/>
            <w:vAlign w:val="center"/>
            <w:tcMar>
              <w:top w:w="50" w:type="dxa"/>
              <w:start w:w="50" w:type="dxa"/>
              <w:bottom w:w="50" w:type="dxa"/>
              <w:end w:w="50" w:type="dxa"/>
            </w:tcMar>
          </w:tcPr>
          <w:p>
            <w:r>
              <w:rPr>
                <w:rFonts w:ascii="Aptos" w:hAnsi="Aptos"/>
                <w:sz w:val="13"/>
              </w:rPr>
              <w:t>750,000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1,250,000</w:t>
            </w:r>
          </w:p>
        </w:tc>
        <w:tc>
          <w:tcPr>
            <w:tcW w:type="dxa" w:w="841248"/>
            <w:vAlign w:val="center"/>
            <w:tcMar>
              <w:top w:w="50" w:type="dxa"/>
              <w:start w:w="50" w:type="dxa"/>
              <w:bottom w:w="50" w:type="dxa"/>
              <w:end w:w="50" w:type="dxa"/>
            </w:tcMar>
          </w:tcPr>
          <w:p>
            <w:r>
              <w:rPr>
                <w:rFonts w:ascii="Aptos" w:hAnsi="Aptos"/>
                <w:sz w:val="13"/>
              </w:rPr>
              <w:t>1,250,000</w:t>
            </w:r>
          </w:p>
        </w:tc>
        <w:tc>
          <w:tcPr>
            <w:tcW w:type="dxa" w:w="914400"/>
            <w:vAlign w:val="center"/>
            <w:tcMar>
              <w:top w:w="50" w:type="dxa"/>
              <w:start w:w="50" w:type="dxa"/>
              <w:bottom w:w="50" w:type="dxa"/>
              <w:end w:w="50" w:type="dxa"/>
            </w:tcMar>
          </w:tcPr>
          <w:p>
            <w:r>
              <w:rPr>
                <w:rFonts w:ascii="Aptos" w:hAnsi="Aptos"/>
                <w:sz w:val="13"/>
              </w:rPr>
              <w:t>3,000,000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6.2</w:t>
            </w:r>
          </w:p>
        </w:tc>
        <w:tc>
          <w:tcPr>
            <w:tcW w:type="dxa" w:w="2971800"/>
            <w:vAlign w:val="center"/>
            <w:tcMar>
              <w:top w:w="50" w:type="dxa"/>
              <w:start w:w="50" w:type="dxa"/>
              <w:bottom w:w="50" w:type="dxa"/>
              <w:end w:w="50" w:type="dxa"/>
            </w:tcMar>
            <w:shd w:fill="F7F9FB"/>
          </w:tcPr>
          <w:p>
            <w:r>
              <w:rPr>
                <w:rFonts w:ascii="Aptos" w:hAnsi="Aptos"/>
                <w:sz w:val="13"/>
              </w:rPr>
              <w:t>Cottonseed and approved oilseed extraction and feedstock trials</w:t>
            </w:r>
          </w:p>
        </w:tc>
        <w:tc>
          <w:tcPr>
            <w:tcW w:type="dxa" w:w="603504"/>
            <w:vAlign w:val="center"/>
            <w:tcMar>
              <w:top w:w="50" w:type="dxa"/>
              <w:start w:w="50" w:type="dxa"/>
              <w:bottom w:w="50" w:type="dxa"/>
              <w:end w:w="50" w:type="dxa"/>
            </w:tcMar>
            <w:shd w:fill="F7F9FB"/>
          </w:tcPr>
          <w:p>
            <w:r>
              <w:rPr>
                <w:rFonts w:ascii="Aptos" w:hAnsi="Aptos"/>
                <w:sz w:val="13"/>
              </w:rPr>
              <w:t>trial</w:t>
            </w:r>
          </w:p>
        </w:tc>
        <w:tc>
          <w:tcPr>
            <w:tcW w:type="dxa" w:w="438912"/>
            <w:vAlign w:val="center"/>
            <w:tcMar>
              <w:top w:w="50" w:type="dxa"/>
              <w:start w:w="50" w:type="dxa"/>
              <w:bottom w:w="50" w:type="dxa"/>
              <w:end w:w="50" w:type="dxa"/>
            </w:tcMar>
            <w:shd w:fill="F7F9FB"/>
          </w:tcPr>
          <w:p>
            <w:r>
              <w:rPr>
                <w:rFonts w:ascii="Aptos" w:hAnsi="Aptos"/>
                <w:sz w:val="13"/>
              </w:rPr>
              <w:t>4</w:t>
            </w:r>
          </w:p>
        </w:tc>
        <w:tc>
          <w:tcPr>
            <w:tcW w:type="dxa" w:w="841248"/>
            <w:vAlign w:val="center"/>
            <w:tcMar>
              <w:top w:w="50" w:type="dxa"/>
              <w:start w:w="50" w:type="dxa"/>
              <w:bottom w:w="50" w:type="dxa"/>
              <w:end w:w="50" w:type="dxa"/>
            </w:tcMar>
            <w:shd w:fill="F7F9FB"/>
          </w:tcPr>
          <w:p>
            <w:r>
              <w:rPr>
                <w:rFonts w:ascii="Aptos" w:hAnsi="Aptos"/>
                <w:sz w:val="13"/>
              </w:rPr>
              <w:t>750,000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1,250,000</w:t>
            </w:r>
          </w:p>
        </w:tc>
        <w:tc>
          <w:tcPr>
            <w:tcW w:type="dxa" w:w="841248"/>
            <w:vAlign w:val="center"/>
            <w:tcMar>
              <w:top w:w="50" w:type="dxa"/>
              <w:start w:w="50" w:type="dxa"/>
              <w:bottom w:w="50" w:type="dxa"/>
              <w:end w:w="50" w:type="dxa"/>
            </w:tcMar>
            <w:shd w:fill="F7F9FB"/>
          </w:tcPr>
          <w:p>
            <w:r>
              <w:rPr>
                <w:rFonts w:ascii="Aptos" w:hAnsi="Aptos"/>
                <w:sz w:val="13"/>
              </w:rPr>
              <w:t>1,250,000</w:t>
            </w:r>
          </w:p>
        </w:tc>
        <w:tc>
          <w:tcPr>
            <w:tcW w:type="dxa" w:w="914400"/>
            <w:vAlign w:val="center"/>
            <w:tcMar>
              <w:top w:w="50" w:type="dxa"/>
              <w:start w:w="50" w:type="dxa"/>
              <w:bottom w:w="50" w:type="dxa"/>
              <w:end w:w="50" w:type="dxa"/>
            </w:tcMar>
            <w:shd w:fill="F7F9FB"/>
          </w:tcPr>
          <w:p>
            <w:r>
              <w:rPr>
                <w:rFonts w:ascii="Aptos" w:hAnsi="Aptos"/>
                <w:sz w:val="13"/>
              </w:rPr>
              <w:t>3,000,000</w:t>
            </w:r>
          </w:p>
        </w:tc>
      </w:tr>
      <w:tr>
        <w:trPr>
          <w:cantSplit/>
          <w:cantSplit/>
        </w:trPr>
        <w:tc>
          <w:tcPr>
            <w:tcW w:type="dxa" w:w="438912"/>
            <w:vAlign w:val="center"/>
            <w:tcMar>
              <w:top w:w="50" w:type="dxa"/>
              <w:start w:w="50" w:type="dxa"/>
              <w:bottom w:w="50" w:type="dxa"/>
              <w:end w:w="50" w:type="dxa"/>
            </w:tcMar>
          </w:tcPr>
          <w:p>
            <w:r>
              <w:rPr>
                <w:rFonts w:ascii="Aptos" w:hAnsi="Aptos"/>
                <w:sz w:val="13"/>
              </w:rPr>
              <w:t>6.3</w:t>
            </w:r>
          </w:p>
        </w:tc>
        <w:tc>
          <w:tcPr>
            <w:tcW w:type="dxa" w:w="2971800"/>
            <w:vAlign w:val="center"/>
            <w:tcMar>
              <w:top w:w="50" w:type="dxa"/>
              <w:start w:w="50" w:type="dxa"/>
              <w:bottom w:w="50" w:type="dxa"/>
              <w:end w:w="50" w:type="dxa"/>
            </w:tcMar>
          </w:tcPr>
          <w:p>
            <w:r>
              <w:rPr>
                <w:rFonts w:ascii="Aptos" w:hAnsi="Aptos"/>
                <w:sz w:val="13"/>
              </w:rPr>
              <w:t>Mavueni pilot-facility safety, handling and compliance improvements</w:t>
            </w:r>
          </w:p>
        </w:tc>
        <w:tc>
          <w:tcPr>
            <w:tcW w:type="dxa" w:w="603504"/>
            <w:vAlign w:val="center"/>
            <w:tcMar>
              <w:top w:w="50" w:type="dxa"/>
              <w:start w:w="50" w:type="dxa"/>
              <w:bottom w:w="50" w:type="dxa"/>
              <w:end w:w="50" w:type="dxa"/>
            </w:tcMar>
          </w:tcPr>
          <w:p>
            <w:r>
              <w:rPr>
                <w:rFonts w:ascii="Aptos" w:hAnsi="Aptos"/>
                <w:sz w:val="13"/>
              </w:rPr>
              <w:t>lot</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2,500,000</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500,000</w:t>
            </w:r>
          </w:p>
        </w:tc>
        <w:tc>
          <w:tcPr>
            <w:tcW w:type="dxa" w:w="914400"/>
            <w:vAlign w:val="center"/>
            <w:tcMar>
              <w:top w:w="50" w:type="dxa"/>
              <w:start w:w="50" w:type="dxa"/>
              <w:bottom w:w="50" w:type="dxa"/>
              <w:end w:w="50" w:type="dxa"/>
            </w:tcMar>
          </w:tcPr>
          <w:p>
            <w:r>
              <w:rPr>
                <w:rFonts w:ascii="Aptos" w:hAnsi="Aptos"/>
                <w:sz w:val="13"/>
              </w:rPr>
              <w:t>2,500,000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6.4</w:t>
            </w:r>
          </w:p>
        </w:tc>
        <w:tc>
          <w:tcPr>
            <w:tcW w:type="dxa" w:w="2971800"/>
            <w:vAlign w:val="center"/>
            <w:tcMar>
              <w:top w:w="50" w:type="dxa"/>
              <w:start w:w="50" w:type="dxa"/>
              <w:bottom w:w="50" w:type="dxa"/>
              <w:end w:w="50" w:type="dxa"/>
            </w:tcMar>
            <w:shd w:fill="F7F9FB"/>
          </w:tcPr>
          <w:p>
            <w:r>
              <w:rPr>
                <w:rFonts w:ascii="Aptos" w:hAnsi="Aptos"/>
                <w:sz w:val="13"/>
              </w:rPr>
              <w:t>NEMA, EPRA, KEBS, county and laboratory application/testing costs</w:t>
            </w:r>
          </w:p>
        </w:tc>
        <w:tc>
          <w:tcPr>
            <w:tcW w:type="dxa" w:w="603504"/>
            <w:vAlign w:val="center"/>
            <w:tcMar>
              <w:top w:w="50" w:type="dxa"/>
              <w:start w:w="50" w:type="dxa"/>
              <w:bottom w:w="50" w:type="dxa"/>
              <w:end w:w="50" w:type="dxa"/>
            </w:tcMar>
            <w:shd w:fill="F7F9FB"/>
          </w:tcPr>
          <w:p>
            <w:r>
              <w:rPr>
                <w:rFonts w:ascii="Aptos" w:hAnsi="Aptos"/>
                <w:sz w:val="13"/>
              </w:rPr>
              <w:t>package</w:t>
            </w:r>
          </w:p>
        </w:tc>
        <w:tc>
          <w:tcPr>
            <w:tcW w:type="dxa" w:w="438912"/>
            <w:vAlign w:val="center"/>
            <w:tcMar>
              <w:top w:w="50" w:type="dxa"/>
              <w:start w:w="50" w:type="dxa"/>
              <w:bottom w:w="50" w:type="dxa"/>
              <w:end w:w="50" w:type="dxa"/>
            </w:tcMar>
            <w:shd w:fill="F7F9FB"/>
          </w:tcPr>
          <w:p>
            <w:r>
              <w:rPr>
                <w:rFonts w:ascii="Aptos" w:hAnsi="Aptos"/>
                <w:sz w:val="13"/>
              </w:rPr>
              <w:t>1</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250,000</w:t>
            </w:r>
          </w:p>
        </w:tc>
        <w:tc>
          <w:tcPr>
            <w:tcW w:type="dxa" w:w="841248"/>
            <w:vAlign w:val="center"/>
            <w:tcMar>
              <w:top w:w="50" w:type="dxa"/>
              <w:start w:w="50" w:type="dxa"/>
              <w:bottom w:w="50" w:type="dxa"/>
              <w:end w:w="50" w:type="dxa"/>
            </w:tcMar>
            <w:shd w:fill="F7F9FB"/>
          </w:tcPr>
          <w:p>
            <w:r>
              <w:rPr>
                <w:rFonts w:ascii="Aptos" w:hAnsi="Aptos"/>
                <w:sz w:val="13"/>
              </w:rPr>
              <w:t>750,000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914400"/>
            <w:vAlign w:val="center"/>
            <w:tcMar>
              <w:top w:w="50" w:type="dxa"/>
              <w:start w:w="50" w:type="dxa"/>
              <w:bottom w:w="50" w:type="dxa"/>
              <w:end w:w="50" w:type="dxa"/>
            </w:tcMar>
            <w:shd w:fill="F7F9FB"/>
          </w:tcPr>
          <w:p>
            <w:r>
              <w:rPr>
                <w:rFonts w:ascii="Aptos" w:hAnsi="Aptos"/>
                <w:sz w:val="13"/>
              </w:rPr>
              <w:t>1,500,000</w:t>
            </w:r>
          </w:p>
        </w:tc>
      </w:tr>
      <w:tr>
        <w:trPr>
          <w:cantSplit/>
          <w:cantSplit/>
        </w:trPr>
        <w:tc>
          <w:tcPr>
            <w:tcW w:type="dxa" w:w="438912"/>
            <w:vAlign w:val="center"/>
            <w:tcMar>
              <w:top w:w="50" w:type="dxa"/>
              <w:start w:w="50" w:type="dxa"/>
              <w:bottom w:w="50" w:type="dxa"/>
              <w:end w:w="50" w:type="dxa"/>
            </w:tcMar>
          </w:tcPr>
          <w:p>
            <w:r>
              <w:rPr>
                <w:rFonts w:ascii="Aptos" w:hAnsi="Aptos"/>
                <w:sz w:val="13"/>
              </w:rPr>
              <w:t>6.5</w:t>
            </w:r>
          </w:p>
        </w:tc>
        <w:tc>
          <w:tcPr>
            <w:tcW w:type="dxa" w:w="2971800"/>
            <w:vAlign w:val="center"/>
            <w:tcMar>
              <w:top w:w="50" w:type="dxa"/>
              <w:start w:w="50" w:type="dxa"/>
              <w:bottom w:w="50" w:type="dxa"/>
              <w:end w:w="50" w:type="dxa"/>
            </w:tcMar>
          </w:tcPr>
          <w:p>
            <w:r>
              <w:rPr>
                <w:rFonts w:ascii="Aptos" w:hAnsi="Aptos"/>
                <w:sz w:val="13"/>
              </w:rPr>
              <w:t>Fire, OHS, spill-control, waste-management and PPE equipment</w:t>
            </w:r>
          </w:p>
        </w:tc>
        <w:tc>
          <w:tcPr>
            <w:tcW w:type="dxa" w:w="603504"/>
            <w:vAlign w:val="center"/>
            <w:tcMar>
              <w:top w:w="50" w:type="dxa"/>
              <w:start w:w="50" w:type="dxa"/>
              <w:bottom w:w="50" w:type="dxa"/>
              <w:end w:w="50" w:type="dxa"/>
            </w:tcMar>
          </w:tcPr>
          <w:p>
            <w:r>
              <w:rPr>
                <w:rFonts w:ascii="Aptos" w:hAnsi="Aptos"/>
                <w:sz w:val="13"/>
              </w:rPr>
              <w:t>package</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250,000</w:t>
            </w:r>
          </w:p>
        </w:tc>
        <w:tc>
          <w:tcPr>
            <w:tcW w:type="dxa" w:w="841248"/>
            <w:vAlign w:val="center"/>
            <w:tcMar>
              <w:top w:w="50" w:type="dxa"/>
              <w:start w:w="50" w:type="dxa"/>
              <w:bottom w:w="50" w:type="dxa"/>
              <w:end w:w="50" w:type="dxa"/>
            </w:tcMar>
          </w:tcPr>
          <w:p>
            <w:r>
              <w:rPr>
                <w:rFonts w:ascii="Aptos" w:hAnsi="Aptos"/>
                <w:sz w:val="13"/>
              </w:rPr>
              <w:t>250,000</w:t>
            </w:r>
          </w:p>
        </w:tc>
        <w:tc>
          <w:tcPr>
            <w:tcW w:type="dxa" w:w="914400"/>
            <w:vAlign w:val="center"/>
            <w:tcMar>
              <w:top w:w="50" w:type="dxa"/>
              <w:start w:w="50" w:type="dxa"/>
              <w:bottom w:w="50" w:type="dxa"/>
              <w:end w:w="50" w:type="dxa"/>
            </w:tcMar>
          </w:tcPr>
          <w:p>
            <w:r>
              <w:rPr>
                <w:rFonts w:ascii="Aptos" w:hAnsi="Aptos"/>
                <w:sz w:val="13"/>
              </w:rPr>
              <w:t>1,000,000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6.6</w:t>
            </w:r>
          </w:p>
        </w:tc>
        <w:tc>
          <w:tcPr>
            <w:tcW w:type="dxa" w:w="2971800"/>
            <w:vAlign w:val="center"/>
            <w:tcMar>
              <w:top w:w="50" w:type="dxa"/>
              <w:start w:w="50" w:type="dxa"/>
              <w:bottom w:w="50" w:type="dxa"/>
              <w:end w:w="50" w:type="dxa"/>
            </w:tcMar>
            <w:shd w:fill="F7F9FB"/>
          </w:tcPr>
          <w:p>
            <w:r>
              <w:rPr>
                <w:rFonts w:ascii="Aptos" w:hAnsi="Aptos"/>
                <w:sz w:val="13"/>
              </w:rPr>
              <w:t>Engineering, process validation and scale-up technical assessment</w:t>
            </w:r>
          </w:p>
        </w:tc>
        <w:tc>
          <w:tcPr>
            <w:tcW w:type="dxa" w:w="603504"/>
            <w:vAlign w:val="center"/>
            <w:tcMar>
              <w:top w:w="50" w:type="dxa"/>
              <w:start w:w="50" w:type="dxa"/>
              <w:bottom w:w="50" w:type="dxa"/>
              <w:end w:w="50" w:type="dxa"/>
            </w:tcMar>
            <w:shd w:fill="F7F9FB"/>
          </w:tcPr>
          <w:p>
            <w:r>
              <w:rPr>
                <w:rFonts w:ascii="Aptos" w:hAnsi="Aptos"/>
                <w:sz w:val="13"/>
              </w:rPr>
              <w:t>assignment</w:t>
            </w:r>
          </w:p>
        </w:tc>
        <w:tc>
          <w:tcPr>
            <w:tcW w:type="dxa" w:w="438912"/>
            <w:vAlign w:val="center"/>
            <w:tcMar>
              <w:top w:w="50" w:type="dxa"/>
              <w:start w:w="50" w:type="dxa"/>
              <w:bottom w:w="50" w:type="dxa"/>
              <w:end w:w="50" w:type="dxa"/>
            </w:tcMar>
            <w:shd w:fill="F7F9FB"/>
          </w:tcPr>
          <w:p>
            <w:r>
              <w:rPr>
                <w:rFonts w:ascii="Aptos" w:hAnsi="Aptos"/>
                <w:sz w:val="13"/>
              </w:rPr>
              <w:t>1</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250,000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250,000</w:t>
            </w:r>
          </w:p>
        </w:tc>
        <w:tc>
          <w:tcPr>
            <w:tcW w:type="dxa" w:w="914400"/>
            <w:vAlign w:val="center"/>
            <w:tcMar>
              <w:top w:w="50" w:type="dxa"/>
              <w:start w:w="50" w:type="dxa"/>
              <w:bottom w:w="50" w:type="dxa"/>
              <w:end w:w="50" w:type="dxa"/>
            </w:tcMar>
            <w:shd w:fill="F7F9FB"/>
          </w:tcPr>
          <w:p>
            <w:r>
              <w:rPr>
                <w:rFonts w:ascii="Aptos" w:hAnsi="Aptos"/>
                <w:sz w:val="13"/>
              </w:rPr>
              <w:t>1,000,000</w:t>
            </w:r>
          </w:p>
        </w:tc>
      </w:tr>
      <w:tr>
        <w:trPr>
          <w:cantSplit/>
          <w:cantSplit/>
        </w:trPr>
        <w:tc>
          <w:tcPr>
            <w:tcW w:type="dxa" w:w="8080"/>
            <w:gridSpan w:val="5"/>
            <w:vAlign w:val="center"/>
            <w:tcMar>
              <w:top w:w="50" w:type="dxa"/>
              <w:start w:w="50" w:type="dxa"/>
              <w:bottom w:w="50" w:type="dxa"/>
              <w:end w:w="50" w:type="dxa"/>
            </w:tcMar>
            <w:shd w:fill="EDF3F8"/>
          </w:tcPr>
          <w:p>
            <w:r>
              <w:rPr>
                <w:rFonts w:ascii="Aptos" w:hAnsi="Aptos"/>
                <w:sz w:val="13"/>
              </w:rPr>
              <w:t>Subtotal 6: Demonstration, processing trials and regulatory compliance</w:t>
            </w:r>
          </w:p>
        </w:tc>
        <w:tc>
          <w:tcPr>
            <w:tcW w:type="dxa" w:w="1616"/>
            <w:vAlign w:val="center"/>
            <w:tcMar>
              <w:top w:w="50" w:type="dxa"/>
              <w:start w:w="50" w:type="dxa"/>
              <w:bottom w:w="50" w:type="dxa"/>
              <w:end w:w="50" w:type="dxa"/>
            </w:tcMar>
            <w:shd w:fill="EDF3F8"/>
          </w:tcPr>
          <w:p>
            <w:r>
              <w:rPr>
                <w:rFonts w:ascii="Aptos" w:hAnsi="Aptos"/>
                <w:sz w:val="13"/>
              </w:rPr>
              <w:t>3,000,000</w:t>
            </w:r>
          </w:p>
        </w:tc>
        <w:tc>
          <w:tcPr>
            <w:tcW w:type="dxa" w:w="1616"/>
            <w:vAlign w:val="center"/>
            <w:tcMar>
              <w:top w:w="50" w:type="dxa"/>
              <w:start w:w="50" w:type="dxa"/>
              <w:bottom w:w="50" w:type="dxa"/>
              <w:end w:w="50" w:type="dxa"/>
            </w:tcMar>
            <w:shd w:fill="EDF3F8"/>
          </w:tcPr>
          <w:p>
            <w:r>
              <w:rPr>
                <w:rFonts w:ascii="Aptos" w:hAnsi="Aptos"/>
                <w:sz w:val="13"/>
              </w:rPr>
              <w:t>5,000,000</w:t>
            </w:r>
          </w:p>
        </w:tc>
        <w:tc>
          <w:tcPr>
            <w:tcW w:type="dxa" w:w="1616"/>
            <w:vAlign w:val="center"/>
            <w:tcMar>
              <w:top w:w="50" w:type="dxa"/>
              <w:start w:w="50" w:type="dxa"/>
              <w:bottom w:w="50" w:type="dxa"/>
              <w:end w:w="50" w:type="dxa"/>
            </w:tcMar>
            <w:shd w:fill="EDF3F8"/>
          </w:tcPr>
          <w:p>
            <w:r>
              <w:rPr>
                <w:rFonts w:ascii="Aptos" w:hAnsi="Aptos"/>
                <w:sz w:val="13"/>
              </w:rPr>
              <w:t>4,000,000</w:t>
            </w:r>
          </w:p>
        </w:tc>
        <w:tc>
          <w:tcPr>
            <w:tcW w:type="dxa" w:w="1616"/>
            <w:vAlign w:val="center"/>
            <w:tcMar>
              <w:top w:w="50" w:type="dxa"/>
              <w:start w:w="50" w:type="dxa"/>
              <w:bottom w:w="50" w:type="dxa"/>
              <w:end w:w="50" w:type="dxa"/>
            </w:tcMar>
            <w:shd w:fill="EDF3F8"/>
          </w:tcPr>
          <w:p>
            <w:r>
              <w:rPr>
                <w:rFonts w:ascii="Aptos" w:hAnsi="Aptos"/>
                <w:sz w:val="13"/>
              </w:rPr>
              <w:t>12,000,000</w:t>
            </w:r>
          </w:p>
        </w:tc>
      </w:tr>
      <w:tr>
        <w:trPr>
          <w:cantSplit/>
          <w:cantSplit/>
        </w:trPr>
        <w:tc>
          <w:tcPr>
            <w:tcW w:type="dxa" w:w="14544"/>
            <w:gridSpan w:val="9"/>
            <w:vAlign w:val="center"/>
            <w:tcMar>
              <w:top w:w="50" w:type="dxa"/>
              <w:start w:w="50" w:type="dxa"/>
              <w:bottom w:w="50" w:type="dxa"/>
              <w:end w:w="50" w:type="dxa"/>
            </w:tcMar>
            <w:shd w:fill="F7F9FB"/>
          </w:tcPr>
          <w:p>
            <w:r>
              <w:rPr>
                <w:rFonts w:ascii="Aptos" w:hAnsi="Aptos"/>
                <w:sz w:val="13"/>
              </w:rPr>
              <w:t>7. Buyer linkage, EU export readiness and commercial transactions (Direct cost; linked to Component 7)</w:t>
            </w:r>
          </w:p>
        </w:tc>
      </w:tr>
      <w:tr>
        <w:trPr>
          <w:cantSplit/>
          <w:cantSplit/>
        </w:trPr>
        <w:tc>
          <w:tcPr>
            <w:tcW w:type="dxa" w:w="438912"/>
            <w:vAlign w:val="center"/>
            <w:tcMar>
              <w:top w:w="50" w:type="dxa"/>
              <w:start w:w="50" w:type="dxa"/>
              <w:bottom w:w="50" w:type="dxa"/>
              <w:end w:w="50" w:type="dxa"/>
            </w:tcMar>
          </w:tcPr>
          <w:p>
            <w:r>
              <w:rPr>
                <w:rFonts w:ascii="Aptos" w:hAnsi="Aptos"/>
                <w:sz w:val="13"/>
              </w:rPr>
              <w:t>7.1</w:t>
            </w:r>
          </w:p>
        </w:tc>
        <w:tc>
          <w:tcPr>
            <w:tcW w:type="dxa" w:w="2971800"/>
            <w:vAlign w:val="center"/>
            <w:tcMar>
              <w:top w:w="50" w:type="dxa"/>
              <w:start w:w="50" w:type="dxa"/>
              <w:bottom w:w="50" w:type="dxa"/>
              <w:end w:w="50" w:type="dxa"/>
            </w:tcMar>
          </w:tcPr>
          <w:p>
            <w:r>
              <w:rPr>
                <w:rFonts w:ascii="Aptos" w:hAnsi="Aptos"/>
                <w:sz w:val="13"/>
              </w:rPr>
              <w:t>Dutch and wider EU buyer mapping, market intelligence and commercial due diligence</w:t>
            </w:r>
          </w:p>
        </w:tc>
        <w:tc>
          <w:tcPr>
            <w:tcW w:type="dxa" w:w="603504"/>
            <w:vAlign w:val="center"/>
            <w:tcMar>
              <w:top w:w="50" w:type="dxa"/>
              <w:start w:w="50" w:type="dxa"/>
              <w:bottom w:w="50" w:type="dxa"/>
              <w:end w:w="50" w:type="dxa"/>
            </w:tcMar>
          </w:tcPr>
          <w:p>
            <w:r>
              <w:rPr>
                <w:rFonts w:ascii="Aptos" w:hAnsi="Aptos"/>
                <w:sz w:val="13"/>
              </w:rPr>
              <w:t>package</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1,500,000</w:t>
            </w:r>
          </w:p>
        </w:tc>
        <w:tc>
          <w:tcPr>
            <w:tcW w:type="dxa" w:w="841248"/>
            <w:vAlign w:val="center"/>
            <w:tcMar>
              <w:top w:w="50" w:type="dxa"/>
              <w:start w:w="50" w:type="dxa"/>
              <w:bottom w:w="50" w:type="dxa"/>
              <w:end w:w="50" w:type="dxa"/>
            </w:tcMar>
          </w:tcPr>
          <w:p>
            <w:r>
              <w:rPr>
                <w:rFonts w:ascii="Aptos" w:hAnsi="Aptos"/>
                <w:sz w:val="13"/>
              </w:rPr>
              <w:t>1,000,000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0</w:t>
            </w:r>
          </w:p>
        </w:tc>
        <w:tc>
          <w:tcPr>
            <w:tcW w:type="dxa" w:w="914400"/>
            <w:vAlign w:val="center"/>
            <w:tcMar>
              <w:top w:w="50" w:type="dxa"/>
              <w:start w:w="50" w:type="dxa"/>
              <w:bottom w:w="50" w:type="dxa"/>
              <w:end w:w="50" w:type="dxa"/>
            </w:tcMar>
          </w:tcPr>
          <w:p>
            <w:r>
              <w:rPr>
                <w:rFonts w:ascii="Aptos" w:hAnsi="Aptos"/>
                <w:sz w:val="13"/>
              </w:rPr>
              <w:t>1,500,000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7.2</w:t>
            </w:r>
          </w:p>
        </w:tc>
        <w:tc>
          <w:tcPr>
            <w:tcW w:type="dxa" w:w="2971800"/>
            <w:vAlign w:val="center"/>
            <w:tcMar>
              <w:top w:w="50" w:type="dxa"/>
              <w:start w:w="50" w:type="dxa"/>
              <w:bottom w:w="50" w:type="dxa"/>
              <w:end w:w="50" w:type="dxa"/>
            </w:tcMar>
            <w:shd w:fill="F7F9FB"/>
          </w:tcPr>
          <w:p>
            <w:r>
              <w:rPr>
                <w:rFonts w:ascii="Aptos" w:hAnsi="Aptos"/>
                <w:sz w:val="13"/>
              </w:rPr>
              <w:t>Buyer missions and supplier forums in Kenya, the Netherlands and wider EU</w:t>
            </w:r>
          </w:p>
        </w:tc>
        <w:tc>
          <w:tcPr>
            <w:tcW w:type="dxa" w:w="603504"/>
            <w:vAlign w:val="center"/>
            <w:tcMar>
              <w:top w:w="50" w:type="dxa"/>
              <w:start w:w="50" w:type="dxa"/>
              <w:bottom w:w="50" w:type="dxa"/>
              <w:end w:w="50" w:type="dxa"/>
            </w:tcMar>
            <w:shd w:fill="F7F9FB"/>
          </w:tcPr>
          <w:p>
            <w:r>
              <w:rPr>
                <w:rFonts w:ascii="Aptos" w:hAnsi="Aptos"/>
                <w:sz w:val="13"/>
              </w:rPr>
              <w:t>mission/forum</w:t>
            </w:r>
          </w:p>
        </w:tc>
        <w:tc>
          <w:tcPr>
            <w:tcW w:type="dxa" w:w="438912"/>
            <w:vAlign w:val="center"/>
            <w:tcMar>
              <w:top w:w="50" w:type="dxa"/>
              <w:start w:w="50" w:type="dxa"/>
              <w:bottom w:w="50" w:type="dxa"/>
              <w:end w:w="50" w:type="dxa"/>
            </w:tcMar>
            <w:shd w:fill="F7F9FB"/>
          </w:tcPr>
          <w:p>
            <w:r>
              <w:rPr>
                <w:rFonts w:ascii="Aptos" w:hAnsi="Aptos"/>
                <w:sz w:val="13"/>
              </w:rPr>
              <w:t>4</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2,000,000</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914400"/>
            <w:vAlign w:val="center"/>
            <w:tcMar>
              <w:top w:w="50" w:type="dxa"/>
              <w:start w:w="50" w:type="dxa"/>
              <w:bottom w:w="50" w:type="dxa"/>
              <w:end w:w="50" w:type="dxa"/>
            </w:tcMar>
            <w:shd w:fill="F7F9FB"/>
          </w:tcPr>
          <w:p>
            <w:r>
              <w:rPr>
                <w:rFonts w:ascii="Aptos" w:hAnsi="Aptos"/>
                <w:sz w:val="13"/>
              </w:rPr>
              <w:t>4,000,000</w:t>
            </w:r>
          </w:p>
        </w:tc>
      </w:tr>
      <w:tr>
        <w:trPr>
          <w:cantSplit/>
          <w:cantSplit/>
        </w:trPr>
        <w:tc>
          <w:tcPr>
            <w:tcW w:type="dxa" w:w="438912"/>
            <w:vAlign w:val="center"/>
            <w:tcMar>
              <w:top w:w="50" w:type="dxa"/>
              <w:start w:w="50" w:type="dxa"/>
              <w:bottom w:w="50" w:type="dxa"/>
              <w:end w:w="50" w:type="dxa"/>
            </w:tcMar>
          </w:tcPr>
          <w:p>
            <w:r>
              <w:rPr>
                <w:rFonts w:ascii="Aptos" w:hAnsi="Aptos"/>
                <w:sz w:val="13"/>
              </w:rPr>
              <w:t>7.3</w:t>
            </w:r>
          </w:p>
        </w:tc>
        <w:tc>
          <w:tcPr>
            <w:tcW w:type="dxa" w:w="2971800"/>
            <w:vAlign w:val="center"/>
            <w:tcMar>
              <w:top w:w="50" w:type="dxa"/>
              <w:start w:w="50" w:type="dxa"/>
              <w:bottom w:w="50" w:type="dxa"/>
              <w:end w:w="50" w:type="dxa"/>
            </w:tcMar>
          </w:tcPr>
          <w:p>
            <w:r>
              <w:rPr>
                <w:rFonts w:ascii="Aptos" w:hAnsi="Aptos"/>
                <w:sz w:val="13"/>
              </w:rPr>
              <w:t>Product samples, design adaptation, testing dossiers and buyer presentations</w:t>
            </w:r>
          </w:p>
        </w:tc>
        <w:tc>
          <w:tcPr>
            <w:tcW w:type="dxa" w:w="603504"/>
            <w:vAlign w:val="center"/>
            <w:tcMar>
              <w:top w:w="50" w:type="dxa"/>
              <w:start w:w="50" w:type="dxa"/>
              <w:bottom w:w="50" w:type="dxa"/>
              <w:end w:w="50" w:type="dxa"/>
            </w:tcMar>
          </w:tcPr>
          <w:p>
            <w:r>
              <w:rPr>
                <w:rFonts w:ascii="Aptos" w:hAnsi="Aptos"/>
                <w:sz w:val="13"/>
              </w:rPr>
              <w:t>package</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1,500,000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500,000</w:t>
            </w:r>
          </w:p>
        </w:tc>
        <w:tc>
          <w:tcPr>
            <w:tcW w:type="dxa" w:w="914400"/>
            <w:vAlign w:val="center"/>
            <w:tcMar>
              <w:top w:w="50" w:type="dxa"/>
              <w:start w:w="50" w:type="dxa"/>
              <w:bottom w:w="50" w:type="dxa"/>
              <w:end w:w="50" w:type="dxa"/>
            </w:tcMar>
          </w:tcPr>
          <w:p>
            <w:r>
              <w:rPr>
                <w:rFonts w:ascii="Aptos" w:hAnsi="Aptos"/>
                <w:sz w:val="13"/>
              </w:rPr>
              <w:t>1,500,000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7.4</w:t>
            </w:r>
          </w:p>
        </w:tc>
        <w:tc>
          <w:tcPr>
            <w:tcW w:type="dxa" w:w="2971800"/>
            <w:vAlign w:val="center"/>
            <w:tcMar>
              <w:top w:w="50" w:type="dxa"/>
              <w:start w:w="50" w:type="dxa"/>
              <w:bottom w:w="50" w:type="dxa"/>
              <w:end w:w="50" w:type="dxa"/>
            </w:tcMar>
            <w:shd w:fill="F7F9FB"/>
          </w:tcPr>
          <w:p>
            <w:r>
              <w:rPr>
                <w:rFonts w:ascii="Aptos" w:hAnsi="Aptos"/>
                <w:sz w:val="13"/>
              </w:rPr>
              <w:t>EU export readiness, costing, customs, logistics, insurance and finance support</w:t>
            </w:r>
          </w:p>
        </w:tc>
        <w:tc>
          <w:tcPr>
            <w:tcW w:type="dxa" w:w="603504"/>
            <w:vAlign w:val="center"/>
            <w:tcMar>
              <w:top w:w="50" w:type="dxa"/>
              <w:start w:w="50" w:type="dxa"/>
              <w:bottom w:w="50" w:type="dxa"/>
              <w:end w:w="50" w:type="dxa"/>
            </w:tcMar>
            <w:shd w:fill="F7F9FB"/>
          </w:tcPr>
          <w:p>
            <w:r>
              <w:rPr>
                <w:rFonts w:ascii="Aptos" w:hAnsi="Aptos"/>
                <w:sz w:val="13"/>
              </w:rPr>
              <w:t>package</w:t>
            </w:r>
          </w:p>
        </w:tc>
        <w:tc>
          <w:tcPr>
            <w:tcW w:type="dxa" w:w="438912"/>
            <w:vAlign w:val="center"/>
            <w:tcMar>
              <w:top w:w="50" w:type="dxa"/>
              <w:start w:w="50" w:type="dxa"/>
              <w:bottom w:w="50" w:type="dxa"/>
              <w:end w:w="50" w:type="dxa"/>
            </w:tcMar>
            <w:shd w:fill="F7F9FB"/>
          </w:tcPr>
          <w:p>
            <w:r>
              <w:rPr>
                <w:rFonts w:ascii="Aptos" w:hAnsi="Aptos"/>
                <w:sz w:val="13"/>
              </w:rPr>
              <w:t>1</w:t>
            </w:r>
          </w:p>
        </w:tc>
        <w:tc>
          <w:tcPr>
            <w:tcW w:type="dxa" w:w="841248"/>
            <w:vAlign w:val="center"/>
            <w:tcMar>
              <w:top w:w="50" w:type="dxa"/>
              <w:start w:w="50" w:type="dxa"/>
              <w:bottom w:w="50" w:type="dxa"/>
              <w:end w:w="50" w:type="dxa"/>
            </w:tcMar>
            <w:shd w:fill="F7F9FB"/>
          </w:tcPr>
          <w:p>
            <w:r>
              <w:rPr>
                <w:rFonts w:ascii="Aptos" w:hAnsi="Aptos"/>
                <w:sz w:val="13"/>
              </w:rPr>
              <w:t>1,500,000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914400"/>
            <w:vAlign w:val="center"/>
            <w:tcMar>
              <w:top w:w="50" w:type="dxa"/>
              <w:start w:w="50" w:type="dxa"/>
              <w:bottom w:w="50" w:type="dxa"/>
              <w:end w:w="50" w:type="dxa"/>
            </w:tcMar>
            <w:shd w:fill="F7F9FB"/>
          </w:tcPr>
          <w:p>
            <w:r>
              <w:rPr>
                <w:rFonts w:ascii="Aptos" w:hAnsi="Aptos"/>
                <w:sz w:val="13"/>
              </w:rPr>
              <w:t>1,500,000</w:t>
            </w:r>
          </w:p>
        </w:tc>
      </w:tr>
      <w:tr>
        <w:trPr>
          <w:cantSplit/>
          <w:cantSplit/>
        </w:trPr>
        <w:tc>
          <w:tcPr>
            <w:tcW w:type="dxa" w:w="438912"/>
            <w:vAlign w:val="center"/>
            <w:tcMar>
              <w:top w:w="50" w:type="dxa"/>
              <w:start w:w="50" w:type="dxa"/>
              <w:bottom w:w="50" w:type="dxa"/>
              <w:end w:w="50" w:type="dxa"/>
            </w:tcMar>
          </w:tcPr>
          <w:p>
            <w:r>
              <w:rPr>
                <w:rFonts w:ascii="Aptos" w:hAnsi="Aptos"/>
                <w:sz w:val="13"/>
              </w:rPr>
              <w:t>7.5</w:t>
            </w:r>
          </w:p>
        </w:tc>
        <w:tc>
          <w:tcPr>
            <w:tcW w:type="dxa" w:w="2971800"/>
            <w:vAlign w:val="center"/>
            <w:tcMar>
              <w:top w:w="50" w:type="dxa"/>
              <w:start w:w="50" w:type="dxa"/>
              <w:bottom w:w="50" w:type="dxa"/>
              <w:end w:w="50" w:type="dxa"/>
            </w:tcMar>
          </w:tcPr>
          <w:p>
            <w:r>
              <w:rPr>
                <w:rFonts w:ascii="Aptos" w:hAnsi="Aptos"/>
                <w:sz w:val="13"/>
              </w:rPr>
              <w:t>Pilot transaction, consignment, verification and risk-sharing support</w:t>
            </w:r>
          </w:p>
        </w:tc>
        <w:tc>
          <w:tcPr>
            <w:tcW w:type="dxa" w:w="603504"/>
            <w:vAlign w:val="center"/>
            <w:tcMar>
              <w:top w:w="50" w:type="dxa"/>
              <w:start w:w="50" w:type="dxa"/>
              <w:bottom w:w="50" w:type="dxa"/>
              <w:end w:w="50" w:type="dxa"/>
            </w:tcMar>
          </w:tcPr>
          <w:p>
            <w:r>
              <w:rPr>
                <w:rFonts w:ascii="Aptos" w:hAnsi="Aptos"/>
                <w:sz w:val="13"/>
              </w:rPr>
              <w:t>transaction cycle</w:t>
            </w:r>
          </w:p>
        </w:tc>
        <w:tc>
          <w:tcPr>
            <w:tcW w:type="dxa" w:w="438912"/>
            <w:vAlign w:val="center"/>
            <w:tcMar>
              <w:top w:w="50" w:type="dxa"/>
              <w:start w:w="50" w:type="dxa"/>
              <w:bottom w:w="50" w:type="dxa"/>
              <w:end w:w="50" w:type="dxa"/>
            </w:tcMar>
          </w:tcPr>
          <w:p>
            <w:r>
              <w:rPr>
                <w:rFonts w:ascii="Aptos" w:hAnsi="Aptos"/>
                <w:sz w:val="13"/>
              </w:rPr>
              <w:t>4</w:t>
            </w:r>
          </w:p>
        </w:tc>
        <w:tc>
          <w:tcPr>
            <w:tcW w:type="dxa" w:w="841248"/>
            <w:vAlign w:val="center"/>
            <w:tcMar>
              <w:top w:w="50" w:type="dxa"/>
              <w:start w:w="50" w:type="dxa"/>
              <w:bottom w:w="50" w:type="dxa"/>
              <w:end w:w="50" w:type="dxa"/>
            </w:tcMar>
          </w:tcPr>
          <w:p>
            <w:r>
              <w:rPr>
                <w:rFonts w:ascii="Aptos" w:hAnsi="Aptos"/>
                <w:sz w:val="13"/>
              </w:rPr>
              <w:t>375,000</w:t>
            </w:r>
          </w:p>
        </w:tc>
        <w:tc>
          <w:tcPr>
            <w:tcW w:type="dxa" w:w="841248"/>
            <w:vAlign w:val="center"/>
            <w:tcMar>
              <w:top w:w="50" w:type="dxa"/>
              <w:start w:w="50" w:type="dxa"/>
              <w:bottom w:w="50" w:type="dxa"/>
              <w:end w:w="50" w:type="dxa"/>
            </w:tcMar>
          </w:tcPr>
          <w:p>
            <w:r>
              <w:rPr>
                <w:rFonts w:ascii="Aptos" w:hAnsi="Aptos"/>
                <w:sz w:val="13"/>
              </w:rPr>
              <w:t>0</w:t>
            </w:r>
          </w:p>
        </w:tc>
        <w:tc>
          <w:tcPr>
            <w:tcW w:type="dxa" w:w="841248"/>
            <w:vAlign w:val="center"/>
            <w:tcMar>
              <w:top w:w="50" w:type="dxa"/>
              <w:start w:w="50" w:type="dxa"/>
              <w:bottom w:w="50" w:type="dxa"/>
              <w:end w:w="50" w:type="dxa"/>
            </w:tcMar>
          </w:tcPr>
          <w:p>
            <w:r>
              <w:rPr>
                <w:rFonts w:ascii="Aptos" w:hAnsi="Aptos"/>
                <w:sz w:val="13"/>
              </w:rPr>
              <w:t>375,000</w:t>
            </w:r>
          </w:p>
        </w:tc>
        <w:tc>
          <w:tcPr>
            <w:tcW w:type="dxa" w:w="841248"/>
            <w:vAlign w:val="center"/>
            <w:tcMar>
              <w:top w:w="50" w:type="dxa"/>
              <w:start w:w="50" w:type="dxa"/>
              <w:bottom w:w="50" w:type="dxa"/>
              <w:end w:w="50" w:type="dxa"/>
            </w:tcMar>
          </w:tcPr>
          <w:p>
            <w:r>
              <w:rPr>
                <w:rFonts w:ascii="Aptos" w:hAnsi="Aptos"/>
                <w:sz w:val="13"/>
              </w:rPr>
              <w:t>1,125,000</w:t>
            </w:r>
          </w:p>
        </w:tc>
        <w:tc>
          <w:tcPr>
            <w:tcW w:type="dxa" w:w="914400"/>
            <w:vAlign w:val="center"/>
            <w:tcMar>
              <w:top w:w="50" w:type="dxa"/>
              <w:start w:w="50" w:type="dxa"/>
              <w:bottom w:w="50" w:type="dxa"/>
              <w:end w:w="50" w:type="dxa"/>
            </w:tcMar>
          </w:tcPr>
          <w:p>
            <w:r>
              <w:rPr>
                <w:rFonts w:ascii="Aptos" w:hAnsi="Aptos"/>
                <w:sz w:val="13"/>
              </w:rPr>
              <w:t>1,500,000</w:t>
            </w:r>
          </w:p>
        </w:tc>
      </w:tr>
      <w:tr>
        <w:trPr>
          <w:cantSplit/>
          <w:cantSplit/>
        </w:trPr>
        <w:tc>
          <w:tcPr>
            <w:tcW w:type="dxa" w:w="8080"/>
            <w:gridSpan w:val="5"/>
            <w:vAlign w:val="center"/>
            <w:tcMar>
              <w:top w:w="50" w:type="dxa"/>
              <w:start w:w="50" w:type="dxa"/>
              <w:bottom w:w="50" w:type="dxa"/>
              <w:end w:w="50" w:type="dxa"/>
            </w:tcMar>
            <w:shd w:fill="F7F9FB"/>
          </w:tcPr>
          <w:p>
            <w:r>
              <w:rPr>
                <w:rFonts w:ascii="Aptos" w:hAnsi="Aptos"/>
                <w:sz w:val="13"/>
              </w:rPr>
              <w:t>Subtotal 7: Buyer linkage, EU export readiness and commercial transactions</w:t>
            </w:r>
          </w:p>
        </w:tc>
        <w:tc>
          <w:tcPr>
            <w:tcW w:type="dxa" w:w="1616"/>
            <w:vAlign w:val="center"/>
            <w:tcMar>
              <w:top w:w="50" w:type="dxa"/>
              <w:start w:w="50" w:type="dxa"/>
              <w:bottom w:w="50" w:type="dxa"/>
              <w:end w:w="50" w:type="dxa"/>
            </w:tcMar>
            <w:shd w:fill="F7F9FB"/>
          </w:tcPr>
          <w:p>
            <w:r>
              <w:rPr>
                <w:rFonts w:ascii="Aptos" w:hAnsi="Aptos"/>
                <w:sz w:val="13"/>
              </w:rPr>
              <w:t>2,000,000</w:t>
            </w:r>
          </w:p>
        </w:tc>
        <w:tc>
          <w:tcPr>
            <w:tcW w:type="dxa" w:w="1616"/>
            <w:vAlign w:val="center"/>
            <w:tcMar>
              <w:top w:w="50" w:type="dxa"/>
              <w:start w:w="50" w:type="dxa"/>
              <w:bottom w:w="50" w:type="dxa"/>
              <w:end w:w="50" w:type="dxa"/>
            </w:tcMar>
            <w:shd w:fill="F7F9FB"/>
          </w:tcPr>
          <w:p>
            <w:r>
              <w:rPr>
                <w:rFonts w:ascii="Aptos" w:hAnsi="Aptos"/>
                <w:sz w:val="13"/>
              </w:rPr>
              <w:t>4,500,000</w:t>
            </w:r>
          </w:p>
        </w:tc>
        <w:tc>
          <w:tcPr>
            <w:tcW w:type="dxa" w:w="1616"/>
            <w:vAlign w:val="center"/>
            <w:tcMar>
              <w:top w:w="50" w:type="dxa"/>
              <w:start w:w="50" w:type="dxa"/>
              <w:bottom w:w="50" w:type="dxa"/>
              <w:end w:w="50" w:type="dxa"/>
            </w:tcMar>
            <w:shd w:fill="F7F9FB"/>
          </w:tcPr>
          <w:p>
            <w:r>
              <w:rPr>
                <w:rFonts w:ascii="Aptos" w:hAnsi="Aptos"/>
                <w:sz w:val="13"/>
              </w:rPr>
              <w:t>3,500,000</w:t>
            </w:r>
          </w:p>
        </w:tc>
        <w:tc>
          <w:tcPr>
            <w:tcW w:type="dxa" w:w="1616"/>
            <w:vAlign w:val="center"/>
            <w:tcMar>
              <w:top w:w="50" w:type="dxa"/>
              <w:start w:w="50" w:type="dxa"/>
              <w:bottom w:w="50" w:type="dxa"/>
              <w:end w:w="50" w:type="dxa"/>
            </w:tcMar>
            <w:shd w:fill="F7F9FB"/>
          </w:tcPr>
          <w:p>
            <w:r>
              <w:rPr>
                <w:rFonts w:ascii="Aptos" w:hAnsi="Aptos"/>
                <w:sz w:val="13"/>
              </w:rPr>
              <w:t>10,000,000</w:t>
            </w:r>
          </w:p>
        </w:tc>
      </w:tr>
      <w:tr>
        <w:trPr>
          <w:cantSplit/>
          <w:cantSplit/>
        </w:trPr>
        <w:tc>
          <w:tcPr>
            <w:tcW w:type="dxa" w:w="14544"/>
            <w:gridSpan w:val="9"/>
            <w:vAlign w:val="center"/>
            <w:tcMar>
              <w:top w:w="50" w:type="dxa"/>
              <w:start w:w="50" w:type="dxa"/>
              <w:bottom w:w="50" w:type="dxa"/>
              <w:end w:w="50" w:type="dxa"/>
            </w:tcMar>
            <w:shd w:fill="D9EAF7"/>
          </w:tcPr>
          <w:p>
            <w:r>
              <w:rPr>
                <w:rFonts w:ascii="Aptos" w:hAnsi="Aptos"/>
                <w:sz w:val="13"/>
              </w:rPr>
              <w:t>8. Inclusion, enterprise support and community grants (Direct cost; linked to Component 8)</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8.1</w:t>
            </w:r>
          </w:p>
        </w:tc>
        <w:tc>
          <w:tcPr>
            <w:tcW w:type="dxa" w:w="2971800"/>
            <w:vAlign w:val="center"/>
            <w:tcMar>
              <w:top w:w="50" w:type="dxa"/>
              <w:start w:w="50" w:type="dxa"/>
              <w:bottom w:w="50" w:type="dxa"/>
              <w:end w:w="50" w:type="dxa"/>
            </w:tcMar>
            <w:shd w:fill="F7F9FB"/>
          </w:tcPr>
          <w:p>
            <w:r>
              <w:rPr>
                <w:rFonts w:ascii="Aptos" w:hAnsi="Aptos"/>
                <w:sz w:val="13"/>
              </w:rPr>
              <w:t>Women- and youth-led enterprise development and market-service training</w:t>
            </w:r>
          </w:p>
        </w:tc>
        <w:tc>
          <w:tcPr>
            <w:tcW w:type="dxa" w:w="603504"/>
            <w:vAlign w:val="center"/>
            <w:tcMar>
              <w:top w:w="50" w:type="dxa"/>
              <w:start w:w="50" w:type="dxa"/>
              <w:bottom w:w="50" w:type="dxa"/>
              <w:end w:w="50" w:type="dxa"/>
            </w:tcMar>
            <w:shd w:fill="F7F9FB"/>
          </w:tcPr>
          <w:p>
            <w:r>
              <w:rPr>
                <w:rFonts w:ascii="Aptos" w:hAnsi="Aptos"/>
                <w:sz w:val="13"/>
              </w:rPr>
              <w:t>cohort</w:t>
            </w:r>
          </w:p>
        </w:tc>
        <w:tc>
          <w:tcPr>
            <w:tcW w:type="dxa" w:w="438912"/>
            <w:vAlign w:val="center"/>
            <w:tcMar>
              <w:top w:w="50" w:type="dxa"/>
              <w:start w:w="50" w:type="dxa"/>
              <w:bottom w:w="50" w:type="dxa"/>
              <w:end w:w="50" w:type="dxa"/>
            </w:tcMar>
            <w:shd w:fill="F7F9FB"/>
          </w:tcPr>
          <w:p>
            <w:r>
              <w:rPr>
                <w:rFonts w:ascii="Aptos" w:hAnsi="Aptos"/>
                <w:sz w:val="13"/>
              </w:rPr>
              <w:t>10</w:t>
            </w:r>
          </w:p>
        </w:tc>
        <w:tc>
          <w:tcPr>
            <w:tcW w:type="dxa" w:w="841248"/>
            <w:vAlign w:val="center"/>
            <w:tcMar>
              <w:top w:w="50" w:type="dxa"/>
              <w:start w:w="50" w:type="dxa"/>
              <w:bottom w:w="50" w:type="dxa"/>
              <w:end w:w="50" w:type="dxa"/>
            </w:tcMar>
            <w:shd w:fill="F7F9FB"/>
          </w:tcPr>
          <w:p>
            <w:r>
              <w:rPr>
                <w:rFonts w:ascii="Aptos" w:hAnsi="Aptos"/>
                <w:sz w:val="13"/>
              </w:rPr>
              <w:t>150,000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841248"/>
            <w:vAlign w:val="center"/>
            <w:tcMar>
              <w:top w:w="50" w:type="dxa"/>
              <w:start w:w="50" w:type="dxa"/>
              <w:bottom w:w="50" w:type="dxa"/>
              <w:end w:w="50" w:type="dxa"/>
            </w:tcMar>
            <w:shd w:fill="F7F9FB"/>
          </w:tcPr>
          <w:p>
            <w:r>
              <w:rPr>
                <w:rFonts w:ascii="Aptos" w:hAnsi="Aptos"/>
                <w:sz w:val="13"/>
              </w:rPr>
              <w:t>750,000</w:t>
            </w:r>
          </w:p>
        </w:tc>
        <w:tc>
          <w:tcPr>
            <w:tcW w:type="dxa" w:w="841248"/>
            <w:vAlign w:val="center"/>
            <w:tcMar>
              <w:top w:w="50" w:type="dxa"/>
              <w:start w:w="50" w:type="dxa"/>
              <w:bottom w:w="50" w:type="dxa"/>
              <w:end w:w="50" w:type="dxa"/>
            </w:tcMar>
            <w:shd w:fill="F7F9FB"/>
          </w:tcPr>
          <w:p>
            <w:r>
              <w:rPr>
                <w:rFonts w:ascii="Aptos" w:hAnsi="Aptos"/>
                <w:sz w:val="13"/>
              </w:rPr>
              <w:t>250,000</w:t>
            </w:r>
          </w:p>
        </w:tc>
        <w:tc>
          <w:tcPr>
            <w:tcW w:type="dxa" w:w="914400"/>
            <w:vAlign w:val="center"/>
            <w:tcMar>
              <w:top w:w="50" w:type="dxa"/>
              <w:start w:w="50" w:type="dxa"/>
              <w:bottom w:w="50" w:type="dxa"/>
              <w:end w:w="50" w:type="dxa"/>
            </w:tcMar>
            <w:shd w:fill="F7F9FB"/>
          </w:tcPr>
          <w:p>
            <w:r>
              <w:rPr>
                <w:rFonts w:ascii="Aptos" w:hAnsi="Aptos"/>
                <w:sz w:val="13"/>
              </w:rPr>
              <w:t>1,500,000</w:t>
            </w:r>
          </w:p>
        </w:tc>
      </w:tr>
      <w:tr>
        <w:trPr>
          <w:cantSplit/>
          <w:cantSplit/>
        </w:trPr>
        <w:tc>
          <w:tcPr>
            <w:tcW w:type="dxa" w:w="438912"/>
            <w:vAlign w:val="center"/>
            <w:tcMar>
              <w:top w:w="50" w:type="dxa"/>
              <w:start w:w="50" w:type="dxa"/>
              <w:bottom w:w="50" w:type="dxa"/>
              <w:end w:w="50" w:type="dxa"/>
            </w:tcMar>
          </w:tcPr>
          <w:p>
            <w:r>
              <w:rPr>
                <w:rFonts w:ascii="Aptos" w:hAnsi="Aptos"/>
                <w:sz w:val="13"/>
              </w:rPr>
              <w:t>8.2</w:t>
            </w:r>
          </w:p>
        </w:tc>
        <w:tc>
          <w:tcPr>
            <w:tcW w:type="dxa" w:w="2971800"/>
            <w:vAlign w:val="center"/>
            <w:tcMar>
              <w:top w:w="50" w:type="dxa"/>
              <w:start w:w="50" w:type="dxa"/>
              <w:bottom w:w="50" w:type="dxa"/>
              <w:end w:w="50" w:type="dxa"/>
            </w:tcMar>
          </w:tcPr>
          <w:p>
            <w:r>
              <w:rPr>
                <w:rFonts w:ascii="Aptos" w:hAnsi="Aptos"/>
                <w:sz w:val="13"/>
              </w:rPr>
              <w:t>Financial literacy, nutrition, food production, safeguarding and leadership training</w:t>
            </w:r>
          </w:p>
        </w:tc>
        <w:tc>
          <w:tcPr>
            <w:tcW w:type="dxa" w:w="603504"/>
            <w:vAlign w:val="center"/>
            <w:tcMar>
              <w:top w:w="50" w:type="dxa"/>
              <w:start w:w="50" w:type="dxa"/>
              <w:bottom w:w="50" w:type="dxa"/>
              <w:end w:w="50" w:type="dxa"/>
            </w:tcMar>
          </w:tcPr>
          <w:p>
            <w:r>
              <w:rPr>
                <w:rFonts w:ascii="Aptos" w:hAnsi="Aptos"/>
                <w:sz w:val="13"/>
              </w:rPr>
              <w:t>session</w:t>
            </w:r>
          </w:p>
        </w:tc>
        <w:tc>
          <w:tcPr>
            <w:tcW w:type="dxa" w:w="438912"/>
            <w:vAlign w:val="center"/>
            <w:tcMar>
              <w:top w:w="50" w:type="dxa"/>
              <w:start w:w="50" w:type="dxa"/>
              <w:bottom w:w="50" w:type="dxa"/>
              <w:end w:w="50" w:type="dxa"/>
            </w:tcMar>
          </w:tcPr>
          <w:p>
            <w:r>
              <w:rPr>
                <w:rFonts w:ascii="Aptos" w:hAnsi="Aptos"/>
                <w:sz w:val="13"/>
              </w:rPr>
              <w:t>20</w:t>
            </w:r>
          </w:p>
        </w:tc>
        <w:tc>
          <w:tcPr>
            <w:tcW w:type="dxa" w:w="841248"/>
            <w:vAlign w:val="center"/>
            <w:tcMar>
              <w:top w:w="50" w:type="dxa"/>
              <w:start w:w="50" w:type="dxa"/>
              <w:bottom w:w="50" w:type="dxa"/>
              <w:end w:w="50" w:type="dxa"/>
            </w:tcMar>
          </w:tcPr>
          <w:p>
            <w:r>
              <w:rPr>
                <w:rFonts w:ascii="Aptos" w:hAnsi="Aptos"/>
                <w:sz w:val="13"/>
              </w:rPr>
              <w:t>75,000</w:t>
            </w:r>
          </w:p>
        </w:tc>
        <w:tc>
          <w:tcPr>
            <w:tcW w:type="dxa" w:w="841248"/>
            <w:vAlign w:val="center"/>
            <w:tcMar>
              <w:top w:w="50" w:type="dxa"/>
              <w:start w:w="50" w:type="dxa"/>
              <w:bottom w:w="50" w:type="dxa"/>
              <w:end w:w="50" w:type="dxa"/>
            </w:tcMar>
          </w:tcPr>
          <w:p>
            <w:r>
              <w:rPr>
                <w:rFonts w:ascii="Aptos" w:hAnsi="Aptos"/>
                <w:sz w:val="13"/>
              </w:rPr>
              <w:t>500,000</w:t>
            </w:r>
          </w:p>
        </w:tc>
        <w:tc>
          <w:tcPr>
            <w:tcW w:type="dxa" w:w="841248"/>
            <w:vAlign w:val="center"/>
            <w:tcMar>
              <w:top w:w="50" w:type="dxa"/>
              <w:start w:w="50" w:type="dxa"/>
              <w:bottom w:w="50" w:type="dxa"/>
              <w:end w:w="50" w:type="dxa"/>
            </w:tcMar>
          </w:tcPr>
          <w:p>
            <w:r>
              <w:rPr>
                <w:rFonts w:ascii="Aptos" w:hAnsi="Aptos"/>
                <w:sz w:val="13"/>
              </w:rPr>
              <w:t>750,000</w:t>
            </w:r>
          </w:p>
        </w:tc>
        <w:tc>
          <w:tcPr>
            <w:tcW w:type="dxa" w:w="841248"/>
            <w:vAlign w:val="center"/>
            <w:tcMar>
              <w:top w:w="50" w:type="dxa"/>
              <w:start w:w="50" w:type="dxa"/>
              <w:bottom w:w="50" w:type="dxa"/>
              <w:end w:w="50" w:type="dxa"/>
            </w:tcMar>
          </w:tcPr>
          <w:p>
            <w:r>
              <w:rPr>
                <w:rFonts w:ascii="Aptos" w:hAnsi="Aptos"/>
                <w:sz w:val="13"/>
              </w:rPr>
              <w:t>250,000</w:t>
            </w:r>
          </w:p>
        </w:tc>
        <w:tc>
          <w:tcPr>
            <w:tcW w:type="dxa" w:w="914400"/>
            <w:vAlign w:val="center"/>
            <w:tcMar>
              <w:top w:w="50" w:type="dxa"/>
              <w:start w:w="50" w:type="dxa"/>
              <w:bottom w:w="50" w:type="dxa"/>
              <w:end w:w="50" w:type="dxa"/>
            </w:tcMar>
          </w:tcPr>
          <w:p>
            <w:r>
              <w:rPr>
                <w:rFonts w:ascii="Aptos" w:hAnsi="Aptos"/>
                <w:sz w:val="13"/>
              </w:rPr>
              <w:t>1,500,000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8.3</w:t>
            </w:r>
          </w:p>
        </w:tc>
        <w:tc>
          <w:tcPr>
            <w:tcW w:type="dxa" w:w="2971800"/>
            <w:vAlign w:val="center"/>
            <w:tcMar>
              <w:top w:w="50" w:type="dxa"/>
              <w:start w:w="50" w:type="dxa"/>
              <w:bottom w:w="50" w:type="dxa"/>
              <w:end w:w="50" w:type="dxa"/>
            </w:tcMar>
            <w:shd w:fill="F7F9FB"/>
          </w:tcPr>
          <w:p>
            <w:r>
              <w:rPr>
                <w:rFonts w:ascii="Aptos" w:hAnsi="Aptos"/>
                <w:sz w:val="13"/>
              </w:rPr>
              <w:t>Milestone-based community innovation and shared-market infrastructure grants</w:t>
            </w:r>
          </w:p>
        </w:tc>
        <w:tc>
          <w:tcPr>
            <w:tcW w:type="dxa" w:w="603504"/>
            <w:vAlign w:val="center"/>
            <w:tcMar>
              <w:top w:w="50" w:type="dxa"/>
              <w:start w:w="50" w:type="dxa"/>
              <w:bottom w:w="50" w:type="dxa"/>
              <w:end w:w="50" w:type="dxa"/>
            </w:tcMar>
            <w:shd w:fill="F7F9FB"/>
          </w:tcPr>
          <w:p>
            <w:r>
              <w:rPr>
                <w:rFonts w:ascii="Aptos" w:hAnsi="Aptos"/>
                <w:sz w:val="13"/>
              </w:rPr>
              <w:t>grant</w:t>
            </w:r>
          </w:p>
        </w:tc>
        <w:tc>
          <w:tcPr>
            <w:tcW w:type="dxa" w:w="438912"/>
            <w:vAlign w:val="center"/>
            <w:tcMar>
              <w:top w:w="50" w:type="dxa"/>
              <w:start w:w="50" w:type="dxa"/>
              <w:bottom w:w="50" w:type="dxa"/>
              <w:end w:w="50" w:type="dxa"/>
            </w:tcMar>
            <w:shd w:fill="F7F9FB"/>
          </w:tcPr>
          <w:p>
            <w:r>
              <w:rPr>
                <w:rFonts w:ascii="Aptos" w:hAnsi="Aptos"/>
                <w:sz w:val="13"/>
              </w:rPr>
              <w:t>20</w:t>
            </w:r>
          </w:p>
        </w:tc>
        <w:tc>
          <w:tcPr>
            <w:tcW w:type="dxa" w:w="841248"/>
            <w:vAlign w:val="center"/>
            <w:tcMar>
              <w:top w:w="50" w:type="dxa"/>
              <w:start w:w="50" w:type="dxa"/>
              <w:bottom w:w="50" w:type="dxa"/>
              <w:end w:w="50" w:type="dxa"/>
            </w:tcMar>
            <w:shd w:fill="F7F9FB"/>
          </w:tcPr>
          <w:p>
            <w:r>
              <w:rPr>
                <w:rFonts w:ascii="Aptos" w:hAnsi="Aptos"/>
                <w:sz w:val="13"/>
              </w:rPr>
              <w:t>250,000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3,000,000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914400"/>
            <w:vAlign w:val="center"/>
            <w:tcMar>
              <w:top w:w="50" w:type="dxa"/>
              <w:start w:w="50" w:type="dxa"/>
              <w:bottom w:w="50" w:type="dxa"/>
              <w:end w:w="50" w:type="dxa"/>
            </w:tcMar>
            <w:shd w:fill="F7F9FB"/>
          </w:tcPr>
          <w:p>
            <w:r>
              <w:rPr>
                <w:rFonts w:ascii="Aptos" w:hAnsi="Aptos"/>
                <w:sz w:val="13"/>
              </w:rPr>
              <w:t>5,000,000</w:t>
            </w:r>
          </w:p>
        </w:tc>
      </w:tr>
      <w:tr>
        <w:trPr>
          <w:cantSplit/>
          <w:cantSplit/>
        </w:trPr>
        <w:tc>
          <w:tcPr>
            <w:tcW w:type="dxa" w:w="438912"/>
            <w:vAlign w:val="center"/>
            <w:tcMar>
              <w:top w:w="50" w:type="dxa"/>
              <w:start w:w="50" w:type="dxa"/>
              <w:bottom w:w="50" w:type="dxa"/>
              <w:end w:w="50" w:type="dxa"/>
            </w:tcMar>
          </w:tcPr>
          <w:p>
            <w:r>
              <w:rPr>
                <w:rFonts w:ascii="Aptos" w:hAnsi="Aptos"/>
                <w:sz w:val="13"/>
              </w:rPr>
              <w:t>8.4</w:t>
            </w:r>
          </w:p>
        </w:tc>
        <w:tc>
          <w:tcPr>
            <w:tcW w:type="dxa" w:w="2971800"/>
            <w:vAlign w:val="center"/>
            <w:tcMar>
              <w:top w:w="50" w:type="dxa"/>
              <w:start w:w="50" w:type="dxa"/>
              <w:bottom w:w="50" w:type="dxa"/>
              <w:end w:w="50" w:type="dxa"/>
            </w:tcMar>
          </w:tcPr>
          <w:p>
            <w:r>
              <w:rPr>
                <w:rFonts w:ascii="Aptos" w:hAnsi="Aptos"/>
                <w:sz w:val="13"/>
              </w:rPr>
              <w:t>Accessibility and disability-inclusion support</w:t>
            </w:r>
          </w:p>
        </w:tc>
        <w:tc>
          <w:tcPr>
            <w:tcW w:type="dxa" w:w="603504"/>
            <w:vAlign w:val="center"/>
            <w:tcMar>
              <w:top w:w="50" w:type="dxa"/>
              <w:start w:w="50" w:type="dxa"/>
              <w:bottom w:w="50" w:type="dxa"/>
              <w:end w:w="50" w:type="dxa"/>
            </w:tcMar>
          </w:tcPr>
          <w:p>
            <w:r>
              <w:rPr>
                <w:rFonts w:ascii="Aptos" w:hAnsi="Aptos"/>
                <w:sz w:val="13"/>
              </w:rPr>
              <w:t>package</w:t>
            </w:r>
          </w:p>
        </w:tc>
        <w:tc>
          <w:tcPr>
            <w:tcW w:type="dxa" w:w="438912"/>
            <w:vAlign w:val="center"/>
            <w:tcMar>
              <w:top w:w="50" w:type="dxa"/>
              <w:start w:w="50" w:type="dxa"/>
              <w:bottom w:w="50" w:type="dxa"/>
              <w:end w:w="50" w:type="dxa"/>
            </w:tcMar>
          </w:tcPr>
          <w:p>
            <w:r>
              <w:rPr>
                <w:rFonts w:ascii="Aptos" w:hAnsi="Aptos"/>
                <w:sz w:val="13"/>
              </w:rPr>
              <w:t>1</w:t>
            </w:r>
          </w:p>
        </w:tc>
        <w:tc>
          <w:tcPr>
            <w:tcW w:type="dxa" w:w="841248"/>
            <w:vAlign w:val="center"/>
            <w:tcMar>
              <w:top w:w="50" w:type="dxa"/>
              <w:start w:w="50" w:type="dxa"/>
              <w:bottom w:w="50" w:type="dxa"/>
              <w:end w:w="50" w:type="dxa"/>
            </w:tcMar>
          </w:tcPr>
          <w:p>
            <w:r>
              <w:rPr>
                <w:rFonts w:ascii="Aptos" w:hAnsi="Aptos"/>
                <w:sz w:val="13"/>
              </w:rPr>
              <w:t>800,000</w:t>
            </w:r>
          </w:p>
        </w:tc>
        <w:tc>
          <w:tcPr>
            <w:tcW w:type="dxa" w:w="841248"/>
            <w:vAlign w:val="center"/>
            <w:tcMar>
              <w:top w:w="50" w:type="dxa"/>
              <w:start w:w="50" w:type="dxa"/>
              <w:bottom w:w="50" w:type="dxa"/>
              <w:end w:w="50" w:type="dxa"/>
            </w:tcMar>
          </w:tcPr>
          <w:p>
            <w:r>
              <w:rPr>
                <w:rFonts w:ascii="Aptos" w:hAnsi="Aptos"/>
                <w:sz w:val="13"/>
              </w:rPr>
              <w:t>200,000</w:t>
            </w:r>
          </w:p>
        </w:tc>
        <w:tc>
          <w:tcPr>
            <w:tcW w:type="dxa" w:w="841248"/>
            <w:vAlign w:val="center"/>
            <w:tcMar>
              <w:top w:w="50" w:type="dxa"/>
              <w:start w:w="50" w:type="dxa"/>
              <w:bottom w:w="50" w:type="dxa"/>
              <w:end w:w="50" w:type="dxa"/>
            </w:tcMar>
          </w:tcPr>
          <w:p>
            <w:r>
              <w:rPr>
                <w:rFonts w:ascii="Aptos" w:hAnsi="Aptos"/>
                <w:sz w:val="13"/>
              </w:rPr>
              <w:t>300,000</w:t>
            </w:r>
          </w:p>
        </w:tc>
        <w:tc>
          <w:tcPr>
            <w:tcW w:type="dxa" w:w="841248"/>
            <w:vAlign w:val="center"/>
            <w:tcMar>
              <w:top w:w="50" w:type="dxa"/>
              <w:start w:w="50" w:type="dxa"/>
              <w:bottom w:w="50" w:type="dxa"/>
              <w:end w:w="50" w:type="dxa"/>
            </w:tcMar>
          </w:tcPr>
          <w:p>
            <w:r>
              <w:rPr>
                <w:rFonts w:ascii="Aptos" w:hAnsi="Aptos"/>
                <w:sz w:val="13"/>
              </w:rPr>
              <w:t>300,000</w:t>
            </w:r>
          </w:p>
        </w:tc>
        <w:tc>
          <w:tcPr>
            <w:tcW w:type="dxa" w:w="914400"/>
            <w:vAlign w:val="center"/>
            <w:tcMar>
              <w:top w:w="50" w:type="dxa"/>
              <w:start w:w="50" w:type="dxa"/>
              <w:bottom w:w="50" w:type="dxa"/>
              <w:end w:w="50" w:type="dxa"/>
            </w:tcMar>
          </w:tcPr>
          <w:p>
            <w:r>
              <w:rPr>
                <w:rFonts w:ascii="Aptos" w:hAnsi="Aptos"/>
                <w:sz w:val="13"/>
              </w:rPr>
              <w:t>800,000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8.5</w:t>
            </w:r>
          </w:p>
        </w:tc>
        <w:tc>
          <w:tcPr>
            <w:tcW w:type="dxa" w:w="2971800"/>
            <w:vAlign w:val="center"/>
            <w:tcMar>
              <w:top w:w="50" w:type="dxa"/>
              <w:start w:w="50" w:type="dxa"/>
              <w:bottom w:w="50" w:type="dxa"/>
              <w:end w:w="50" w:type="dxa"/>
            </w:tcMar>
            <w:shd w:fill="F7F9FB"/>
          </w:tcPr>
          <w:p>
            <w:r>
              <w:rPr>
                <w:rFonts w:ascii="Aptos" w:hAnsi="Aptos"/>
                <w:sz w:val="13"/>
              </w:rPr>
              <w:t>Safeguarding, grievance, whistleblowing and community support mechanism</w:t>
            </w:r>
          </w:p>
        </w:tc>
        <w:tc>
          <w:tcPr>
            <w:tcW w:type="dxa" w:w="603504"/>
            <w:vAlign w:val="center"/>
            <w:tcMar>
              <w:top w:w="50" w:type="dxa"/>
              <w:start w:w="50" w:type="dxa"/>
              <w:bottom w:w="50" w:type="dxa"/>
              <w:end w:w="50" w:type="dxa"/>
            </w:tcMar>
            <w:shd w:fill="F7F9FB"/>
          </w:tcPr>
          <w:p>
            <w:r>
              <w:rPr>
                <w:rFonts w:ascii="Aptos" w:hAnsi="Aptos"/>
                <w:sz w:val="13"/>
              </w:rPr>
              <w:t>annual package</w:t>
            </w:r>
          </w:p>
        </w:tc>
        <w:tc>
          <w:tcPr>
            <w:tcW w:type="dxa" w:w="438912"/>
            <w:vAlign w:val="center"/>
            <w:tcMar>
              <w:top w:w="50" w:type="dxa"/>
              <w:start w:w="50" w:type="dxa"/>
              <w:bottom w:w="50" w:type="dxa"/>
              <w:end w:w="50" w:type="dxa"/>
            </w:tcMar>
            <w:shd w:fill="F7F9FB"/>
          </w:tcPr>
          <w:p>
            <w:r>
              <w:rPr>
                <w:rFonts w:ascii="Aptos" w:hAnsi="Aptos"/>
                <w:sz w:val="13"/>
              </w:rPr>
              <w:t>3</w:t>
            </w:r>
          </w:p>
        </w:tc>
        <w:tc>
          <w:tcPr>
            <w:tcW w:type="dxa" w:w="841248"/>
            <w:vAlign w:val="center"/>
            <w:tcMar>
              <w:top w:w="50" w:type="dxa"/>
              <w:start w:w="50" w:type="dxa"/>
              <w:bottom w:w="50" w:type="dxa"/>
              <w:end w:w="50" w:type="dxa"/>
            </w:tcMar>
            <w:shd w:fill="F7F9FB"/>
          </w:tcPr>
          <w:p>
            <w:r>
              <w:rPr>
                <w:rFonts w:ascii="Aptos" w:hAnsi="Aptos"/>
                <w:sz w:val="13"/>
              </w:rPr>
              <w:t>400,000</w:t>
            </w:r>
          </w:p>
        </w:tc>
        <w:tc>
          <w:tcPr>
            <w:tcW w:type="dxa" w:w="841248"/>
            <w:vAlign w:val="center"/>
            <w:tcMar>
              <w:top w:w="50" w:type="dxa"/>
              <w:start w:w="50" w:type="dxa"/>
              <w:bottom w:w="50" w:type="dxa"/>
              <w:end w:w="50" w:type="dxa"/>
            </w:tcMar>
            <w:shd w:fill="F7F9FB"/>
          </w:tcPr>
          <w:p>
            <w:r>
              <w:rPr>
                <w:rFonts w:ascii="Aptos" w:hAnsi="Aptos"/>
                <w:sz w:val="13"/>
              </w:rPr>
              <w:t>300,000</w:t>
            </w:r>
          </w:p>
        </w:tc>
        <w:tc>
          <w:tcPr>
            <w:tcW w:type="dxa" w:w="841248"/>
            <w:vAlign w:val="center"/>
            <w:tcMar>
              <w:top w:w="50" w:type="dxa"/>
              <w:start w:w="50" w:type="dxa"/>
              <w:bottom w:w="50" w:type="dxa"/>
              <w:end w:w="50" w:type="dxa"/>
            </w:tcMar>
            <w:shd w:fill="F7F9FB"/>
          </w:tcPr>
          <w:p>
            <w:r>
              <w:rPr>
                <w:rFonts w:ascii="Aptos" w:hAnsi="Aptos"/>
                <w:sz w:val="13"/>
              </w:rPr>
              <w:t>200,000</w:t>
            </w:r>
          </w:p>
        </w:tc>
        <w:tc>
          <w:tcPr>
            <w:tcW w:type="dxa" w:w="841248"/>
            <w:vAlign w:val="center"/>
            <w:tcMar>
              <w:top w:w="50" w:type="dxa"/>
              <w:start w:w="50" w:type="dxa"/>
              <w:bottom w:w="50" w:type="dxa"/>
              <w:end w:w="50" w:type="dxa"/>
            </w:tcMar>
            <w:shd w:fill="F7F9FB"/>
          </w:tcPr>
          <w:p>
            <w:r>
              <w:rPr>
                <w:rFonts w:ascii="Aptos" w:hAnsi="Aptos"/>
                <w:sz w:val="13"/>
              </w:rPr>
              <w:t>700,000</w:t>
            </w:r>
          </w:p>
        </w:tc>
        <w:tc>
          <w:tcPr>
            <w:tcW w:type="dxa" w:w="914400"/>
            <w:vAlign w:val="center"/>
            <w:tcMar>
              <w:top w:w="50" w:type="dxa"/>
              <w:start w:w="50" w:type="dxa"/>
              <w:bottom w:w="50" w:type="dxa"/>
              <w:end w:w="50" w:type="dxa"/>
            </w:tcMar>
            <w:shd w:fill="F7F9FB"/>
          </w:tcPr>
          <w:p>
            <w:r>
              <w:rPr>
                <w:rFonts w:ascii="Aptos" w:hAnsi="Aptos"/>
                <w:sz w:val="13"/>
              </w:rPr>
              <w:t>1,200,000</w:t>
            </w:r>
          </w:p>
        </w:tc>
      </w:tr>
      <w:tr>
        <w:trPr>
          <w:cantSplit/>
          <w:cantSplit/>
        </w:trPr>
        <w:tc>
          <w:tcPr>
            <w:tcW w:type="dxa" w:w="8080"/>
            <w:gridSpan w:val="5"/>
            <w:vAlign w:val="center"/>
            <w:tcMar>
              <w:top w:w="50" w:type="dxa"/>
              <w:start w:w="50" w:type="dxa"/>
              <w:bottom w:w="50" w:type="dxa"/>
              <w:end w:w="50" w:type="dxa"/>
            </w:tcMar>
            <w:shd w:fill="EDF3F8"/>
          </w:tcPr>
          <w:p>
            <w:r>
              <w:rPr>
                <w:rFonts w:ascii="Aptos" w:hAnsi="Aptos"/>
                <w:sz w:val="13"/>
              </w:rPr>
              <w:t>Subtotal 8: Inclusion, enterprise support and community grants</w:t>
            </w:r>
          </w:p>
        </w:tc>
        <w:tc>
          <w:tcPr>
            <w:tcW w:type="dxa" w:w="1616"/>
            <w:vAlign w:val="center"/>
            <w:tcMar>
              <w:top w:w="50" w:type="dxa"/>
              <w:start w:w="50" w:type="dxa"/>
              <w:bottom w:w="50" w:type="dxa"/>
              <w:end w:w="50" w:type="dxa"/>
            </w:tcMar>
            <w:shd w:fill="EDF3F8"/>
          </w:tcPr>
          <w:p>
            <w:r>
              <w:rPr>
                <w:rFonts w:ascii="Aptos" w:hAnsi="Aptos"/>
                <w:sz w:val="13"/>
              </w:rPr>
              <w:t>2,500,000</w:t>
            </w:r>
          </w:p>
        </w:tc>
        <w:tc>
          <w:tcPr>
            <w:tcW w:type="dxa" w:w="1616"/>
            <w:vAlign w:val="center"/>
            <w:tcMar>
              <w:top w:w="50" w:type="dxa"/>
              <w:start w:w="50" w:type="dxa"/>
              <w:bottom w:w="50" w:type="dxa"/>
              <w:end w:w="50" w:type="dxa"/>
            </w:tcMar>
            <w:shd w:fill="EDF3F8"/>
          </w:tcPr>
          <w:p>
            <w:r>
              <w:rPr>
                <w:rFonts w:ascii="Aptos" w:hAnsi="Aptos"/>
                <w:sz w:val="13"/>
              </w:rPr>
              <w:t>5,000,000</w:t>
            </w:r>
          </w:p>
        </w:tc>
        <w:tc>
          <w:tcPr>
            <w:tcW w:type="dxa" w:w="1616"/>
            <w:vAlign w:val="center"/>
            <w:tcMar>
              <w:top w:w="50" w:type="dxa"/>
              <w:start w:w="50" w:type="dxa"/>
              <w:bottom w:w="50" w:type="dxa"/>
              <w:end w:w="50" w:type="dxa"/>
            </w:tcMar>
            <w:shd w:fill="EDF3F8"/>
          </w:tcPr>
          <w:p>
            <w:r>
              <w:rPr>
                <w:rFonts w:ascii="Aptos" w:hAnsi="Aptos"/>
                <w:sz w:val="13"/>
              </w:rPr>
              <w:t>2,500,000</w:t>
            </w:r>
          </w:p>
        </w:tc>
        <w:tc>
          <w:tcPr>
            <w:tcW w:type="dxa" w:w="1616"/>
            <w:vAlign w:val="center"/>
            <w:tcMar>
              <w:top w:w="50" w:type="dxa"/>
              <w:start w:w="50" w:type="dxa"/>
              <w:bottom w:w="50" w:type="dxa"/>
              <w:end w:w="50" w:type="dxa"/>
            </w:tcMar>
            <w:shd w:fill="EDF3F8"/>
          </w:tcPr>
          <w:p>
            <w:r>
              <w:rPr>
                <w:rFonts w:ascii="Aptos" w:hAnsi="Aptos"/>
                <w:sz w:val="13"/>
              </w:rPr>
              <w:t>10,000,000</w:t>
            </w:r>
          </w:p>
        </w:tc>
      </w:tr>
      <w:tr>
        <w:trPr>
          <w:cantSplit/>
          <w:cantSplit/>
        </w:trPr>
        <w:tc>
          <w:tcPr>
            <w:tcW w:type="dxa" w:w="14544"/>
            <w:gridSpan w:val="9"/>
            <w:vAlign w:val="center"/>
            <w:tcMar>
              <w:top w:w="50" w:type="dxa"/>
              <w:start w:w="50" w:type="dxa"/>
              <w:bottom w:w="50" w:type="dxa"/>
              <w:end w:w="50" w:type="dxa"/>
            </w:tcMar>
            <w:shd w:fill="F7F9FB"/>
          </w:tcPr>
          <w:p>
            <w:r>
              <w:rPr>
                <w:rFonts w:ascii="Aptos" w:hAnsi="Aptos"/>
                <w:sz w:val="13"/>
              </w:rPr>
              <w:t>9. Monitoring, evaluation, learning and replication (Direct cost; linked to Component 9)</w:t>
            </w:r>
          </w:p>
        </w:tc>
      </w:tr>
      <w:tr>
        <w:trPr>
          <w:cantSplit/>
          <w:cantSplit/>
        </w:trPr>
        <w:tc>
          <w:tcPr>
            <w:tcW w:type="dxa" w:w="438912"/>
            <w:vAlign w:val="center"/>
            <w:tcMar>
              <w:top w:w="50" w:type="dxa"/>
              <w:start w:w="50" w:type="dxa"/>
              <w:bottom w:w="50" w:type="dxa"/>
              <w:end w:w="50" w:type="dxa"/>
            </w:tcMar>
          </w:tcPr>
          <w:p>
            <w:r>
              <w:rPr>
                <w:rFonts w:ascii="Aptos" w:hAnsi="Aptos"/>
                <w:sz w:val="13"/>
              </w:rPr>
              <w:t>9.1</w:t>
            </w:r>
          </w:p>
        </w:tc>
        <w:tc>
          <w:tcPr>
            <w:tcW w:type="dxa" w:w="2971800"/>
            <w:vAlign w:val="center"/>
            <w:tcMar>
              <w:top w:w="50" w:type="dxa"/>
              <w:start w:w="50" w:type="dxa"/>
              <w:bottom w:w="50" w:type="dxa"/>
              <w:end w:w="50" w:type="dxa"/>
            </w:tcMar>
          </w:tcPr>
          <w:p>
            <w:r>
              <w:rPr>
                <w:rFonts w:ascii="Aptos" w:hAnsi="Aptos"/>
                <w:sz w:val="13"/>
              </w:rPr>
              <w:t>Baseline, midline and endline outcome and income studies</w:t>
            </w:r>
          </w:p>
        </w:tc>
        <w:tc>
          <w:tcPr>
            <w:tcW w:type="dxa" w:w="603504"/>
            <w:vAlign w:val="center"/>
            <w:tcMar>
              <w:top w:w="50" w:type="dxa"/>
              <w:start w:w="50" w:type="dxa"/>
              <w:bottom w:w="50" w:type="dxa"/>
              <w:end w:w="50" w:type="dxa"/>
            </w:tcMar>
          </w:tcPr>
          <w:p>
            <w:r>
              <w:rPr>
                <w:rFonts w:ascii="Aptos" w:hAnsi="Aptos"/>
                <w:sz w:val="13"/>
              </w:rPr>
              <w:t>study</w:t>
            </w:r>
          </w:p>
        </w:tc>
        <w:tc>
          <w:tcPr>
            <w:tcW w:type="dxa" w:w="438912"/>
            <w:vAlign w:val="center"/>
            <w:tcMar>
              <w:top w:w="50" w:type="dxa"/>
              <w:start w:w="50" w:type="dxa"/>
              <w:bottom w:w="50" w:type="dxa"/>
              <w:end w:w="50" w:type="dxa"/>
            </w:tcMar>
          </w:tcPr>
          <w:p>
            <w:r>
              <w:rPr>
                <w:rFonts w:ascii="Aptos" w:hAnsi="Aptos"/>
                <w:sz w:val="13"/>
              </w:rPr>
              <w:t>3</w:t>
            </w:r>
          </w:p>
        </w:tc>
        <w:tc>
          <w:tcPr>
            <w:tcW w:type="dxa" w:w="841248"/>
            <w:vAlign w:val="center"/>
            <w:tcMar>
              <w:top w:w="50" w:type="dxa"/>
              <w:start w:w="50" w:type="dxa"/>
              <w:bottom w:w="50" w:type="dxa"/>
              <w:end w:w="50" w:type="dxa"/>
            </w:tcMar>
          </w:tcPr>
          <w:p>
            <w:r>
              <w:rPr>
                <w:rFonts w:ascii="Aptos" w:hAnsi="Aptos"/>
                <w:sz w:val="13"/>
              </w:rPr>
              <w:t>800,000</w:t>
            </w:r>
          </w:p>
        </w:tc>
        <w:tc>
          <w:tcPr>
            <w:tcW w:type="dxa" w:w="841248"/>
            <w:vAlign w:val="center"/>
            <w:tcMar>
              <w:top w:w="50" w:type="dxa"/>
              <w:start w:w="50" w:type="dxa"/>
              <w:bottom w:w="50" w:type="dxa"/>
              <w:end w:w="50" w:type="dxa"/>
            </w:tcMar>
          </w:tcPr>
          <w:p>
            <w:r>
              <w:rPr>
                <w:rFonts w:ascii="Aptos" w:hAnsi="Aptos"/>
                <w:sz w:val="13"/>
              </w:rPr>
              <w:t>800,000</w:t>
            </w:r>
          </w:p>
        </w:tc>
        <w:tc>
          <w:tcPr>
            <w:tcW w:type="dxa" w:w="841248"/>
            <w:vAlign w:val="center"/>
            <w:tcMar>
              <w:top w:w="50" w:type="dxa"/>
              <w:start w:w="50" w:type="dxa"/>
              <w:bottom w:w="50" w:type="dxa"/>
              <w:end w:w="50" w:type="dxa"/>
            </w:tcMar>
          </w:tcPr>
          <w:p>
            <w:r>
              <w:rPr>
                <w:rFonts w:ascii="Aptos" w:hAnsi="Aptos"/>
                <w:sz w:val="13"/>
              </w:rPr>
              <w:t>800,000</w:t>
            </w:r>
          </w:p>
        </w:tc>
        <w:tc>
          <w:tcPr>
            <w:tcW w:type="dxa" w:w="841248"/>
            <w:vAlign w:val="center"/>
            <w:tcMar>
              <w:top w:w="50" w:type="dxa"/>
              <w:start w:w="50" w:type="dxa"/>
              <w:bottom w:w="50" w:type="dxa"/>
              <w:end w:w="50" w:type="dxa"/>
            </w:tcMar>
          </w:tcPr>
          <w:p>
            <w:r>
              <w:rPr>
                <w:rFonts w:ascii="Aptos" w:hAnsi="Aptos"/>
                <w:sz w:val="13"/>
              </w:rPr>
              <w:t>800,000</w:t>
            </w:r>
          </w:p>
        </w:tc>
        <w:tc>
          <w:tcPr>
            <w:tcW w:type="dxa" w:w="914400"/>
            <w:vAlign w:val="center"/>
            <w:tcMar>
              <w:top w:w="50" w:type="dxa"/>
              <w:start w:w="50" w:type="dxa"/>
              <w:bottom w:w="50" w:type="dxa"/>
              <w:end w:w="50" w:type="dxa"/>
            </w:tcMar>
          </w:tcPr>
          <w:p>
            <w:r>
              <w:rPr>
                <w:rFonts w:ascii="Aptos" w:hAnsi="Aptos"/>
                <w:sz w:val="13"/>
              </w:rPr>
              <w:t>2,400,000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9.2</w:t>
            </w:r>
          </w:p>
        </w:tc>
        <w:tc>
          <w:tcPr>
            <w:tcW w:type="dxa" w:w="2971800"/>
            <w:vAlign w:val="center"/>
            <w:tcMar>
              <w:top w:w="50" w:type="dxa"/>
              <w:start w:w="50" w:type="dxa"/>
              <w:bottom w:w="50" w:type="dxa"/>
              <w:end w:w="50" w:type="dxa"/>
            </w:tcMar>
            <w:shd w:fill="F7F9FB"/>
          </w:tcPr>
          <w:p>
            <w:r>
              <w:rPr>
                <w:rFonts w:ascii="Aptos" w:hAnsi="Aptos"/>
                <w:sz w:val="13"/>
              </w:rPr>
              <w:t>M&amp;E coordination, platform data quality and field verification</w:t>
            </w:r>
          </w:p>
        </w:tc>
        <w:tc>
          <w:tcPr>
            <w:tcW w:type="dxa" w:w="603504"/>
            <w:vAlign w:val="center"/>
            <w:tcMar>
              <w:top w:w="50" w:type="dxa"/>
              <w:start w:w="50" w:type="dxa"/>
              <w:bottom w:w="50" w:type="dxa"/>
              <w:end w:w="50" w:type="dxa"/>
            </w:tcMar>
            <w:shd w:fill="F7F9FB"/>
          </w:tcPr>
          <w:p>
            <w:r>
              <w:rPr>
                <w:rFonts w:ascii="Aptos" w:hAnsi="Aptos"/>
                <w:sz w:val="13"/>
              </w:rPr>
              <w:t>month</w:t>
            </w:r>
          </w:p>
        </w:tc>
        <w:tc>
          <w:tcPr>
            <w:tcW w:type="dxa" w:w="438912"/>
            <w:vAlign w:val="center"/>
            <w:tcMar>
              <w:top w:w="50" w:type="dxa"/>
              <w:start w:w="50" w:type="dxa"/>
              <w:bottom w:w="50" w:type="dxa"/>
              <w:end w:w="50" w:type="dxa"/>
            </w:tcMar>
            <w:shd w:fill="F7F9FB"/>
          </w:tcPr>
          <w:p>
            <w:r>
              <w:rPr>
                <w:rFonts w:ascii="Aptos" w:hAnsi="Aptos"/>
                <w:sz w:val="13"/>
              </w:rPr>
              <w:t>36</w:t>
            </w:r>
          </w:p>
        </w:tc>
        <w:tc>
          <w:tcPr>
            <w:tcW w:type="dxa" w:w="841248"/>
            <w:vAlign w:val="center"/>
            <w:tcMar>
              <w:top w:w="50" w:type="dxa"/>
              <w:start w:w="50" w:type="dxa"/>
              <w:bottom w:w="50" w:type="dxa"/>
              <w:end w:w="50" w:type="dxa"/>
            </w:tcMar>
            <w:shd w:fill="F7F9FB"/>
          </w:tcPr>
          <w:p>
            <w:r>
              <w:rPr>
                <w:rFonts w:ascii="Aptos" w:hAnsi="Aptos"/>
                <w:sz w:val="13"/>
              </w:rPr>
              <w:t>70,000</w:t>
            </w:r>
          </w:p>
        </w:tc>
        <w:tc>
          <w:tcPr>
            <w:tcW w:type="dxa" w:w="841248"/>
            <w:vAlign w:val="center"/>
            <w:tcMar>
              <w:top w:w="50" w:type="dxa"/>
              <w:start w:w="50" w:type="dxa"/>
              <w:bottom w:w="50" w:type="dxa"/>
              <w:end w:w="50" w:type="dxa"/>
            </w:tcMar>
            <w:shd w:fill="F7F9FB"/>
          </w:tcPr>
          <w:p>
            <w:r>
              <w:rPr>
                <w:rFonts w:ascii="Aptos" w:hAnsi="Aptos"/>
                <w:sz w:val="13"/>
              </w:rPr>
              <w:t>1,100,000</w:t>
            </w:r>
          </w:p>
        </w:tc>
        <w:tc>
          <w:tcPr>
            <w:tcW w:type="dxa" w:w="841248"/>
            <w:vAlign w:val="center"/>
            <w:tcMar>
              <w:top w:w="50" w:type="dxa"/>
              <w:start w:w="50" w:type="dxa"/>
              <w:bottom w:w="50" w:type="dxa"/>
              <w:end w:w="50" w:type="dxa"/>
            </w:tcMar>
            <w:shd w:fill="F7F9FB"/>
          </w:tcPr>
          <w:p>
            <w:r>
              <w:rPr>
                <w:rFonts w:ascii="Aptos" w:hAnsi="Aptos"/>
                <w:sz w:val="13"/>
              </w:rPr>
              <w:t>1,000,000</w:t>
            </w:r>
          </w:p>
        </w:tc>
        <w:tc>
          <w:tcPr>
            <w:tcW w:type="dxa" w:w="841248"/>
            <w:vAlign w:val="center"/>
            <w:tcMar>
              <w:top w:w="50" w:type="dxa"/>
              <w:start w:w="50" w:type="dxa"/>
              <w:bottom w:w="50" w:type="dxa"/>
              <w:end w:w="50" w:type="dxa"/>
            </w:tcMar>
            <w:shd w:fill="F7F9FB"/>
          </w:tcPr>
          <w:p>
            <w:r>
              <w:rPr>
                <w:rFonts w:ascii="Aptos" w:hAnsi="Aptos"/>
                <w:sz w:val="13"/>
              </w:rPr>
              <w:t>420,000</w:t>
            </w:r>
          </w:p>
        </w:tc>
        <w:tc>
          <w:tcPr>
            <w:tcW w:type="dxa" w:w="914400"/>
            <w:vAlign w:val="center"/>
            <w:tcMar>
              <w:top w:w="50" w:type="dxa"/>
              <w:start w:w="50" w:type="dxa"/>
              <w:bottom w:w="50" w:type="dxa"/>
              <w:end w:w="50" w:type="dxa"/>
            </w:tcMar>
            <w:shd w:fill="F7F9FB"/>
          </w:tcPr>
          <w:p>
            <w:r>
              <w:rPr>
                <w:rFonts w:ascii="Aptos" w:hAnsi="Aptos"/>
                <w:sz w:val="13"/>
              </w:rPr>
              <w:t>2,520,000</w:t>
            </w:r>
          </w:p>
        </w:tc>
      </w:tr>
      <w:tr>
        <w:trPr>
          <w:cantSplit/>
          <w:cantSplit/>
        </w:trPr>
        <w:tc>
          <w:tcPr>
            <w:tcW w:type="dxa" w:w="438912"/>
            <w:vAlign w:val="center"/>
            <w:tcMar>
              <w:top w:w="50" w:type="dxa"/>
              <w:start w:w="50" w:type="dxa"/>
              <w:bottom w:w="50" w:type="dxa"/>
              <w:end w:w="50" w:type="dxa"/>
            </w:tcMar>
          </w:tcPr>
          <w:p>
            <w:r>
              <w:rPr>
                <w:rFonts w:ascii="Aptos" w:hAnsi="Aptos"/>
                <w:sz w:val="13"/>
              </w:rPr>
              <w:t>9.3</w:t>
            </w:r>
          </w:p>
        </w:tc>
        <w:tc>
          <w:tcPr>
            <w:tcW w:type="dxa" w:w="2971800"/>
            <w:vAlign w:val="center"/>
            <w:tcMar>
              <w:top w:w="50" w:type="dxa"/>
              <w:start w:w="50" w:type="dxa"/>
              <w:bottom w:w="50" w:type="dxa"/>
              <w:end w:w="50" w:type="dxa"/>
            </w:tcMar>
          </w:tcPr>
          <w:p>
            <w:r>
              <w:rPr>
                <w:rFonts w:ascii="Aptos" w:hAnsi="Aptos"/>
                <w:sz w:val="13"/>
              </w:rPr>
              <w:t>Annual learning, accountability and market-system review forums</w:t>
            </w:r>
          </w:p>
        </w:tc>
        <w:tc>
          <w:tcPr>
            <w:tcW w:type="dxa" w:w="603504"/>
            <w:vAlign w:val="center"/>
            <w:tcMar>
              <w:top w:w="50" w:type="dxa"/>
              <w:start w:w="50" w:type="dxa"/>
              <w:bottom w:w="50" w:type="dxa"/>
              <w:end w:w="50" w:type="dxa"/>
            </w:tcMar>
          </w:tcPr>
          <w:p>
            <w:r>
              <w:rPr>
                <w:rFonts w:ascii="Aptos" w:hAnsi="Aptos"/>
                <w:sz w:val="13"/>
              </w:rPr>
              <w:t>forum</w:t>
            </w:r>
          </w:p>
        </w:tc>
        <w:tc>
          <w:tcPr>
            <w:tcW w:type="dxa" w:w="438912"/>
            <w:vAlign w:val="center"/>
            <w:tcMar>
              <w:top w:w="50" w:type="dxa"/>
              <w:start w:w="50" w:type="dxa"/>
              <w:bottom w:w="50" w:type="dxa"/>
              <w:end w:w="50" w:type="dxa"/>
            </w:tcMar>
          </w:tcPr>
          <w:p>
            <w:r>
              <w:rPr>
                <w:rFonts w:ascii="Aptos" w:hAnsi="Aptos"/>
                <w:sz w:val="13"/>
              </w:rPr>
              <w:t>3</w:t>
            </w:r>
          </w:p>
        </w:tc>
        <w:tc>
          <w:tcPr>
            <w:tcW w:type="dxa" w:w="841248"/>
            <w:vAlign w:val="center"/>
            <w:tcMar>
              <w:top w:w="50" w:type="dxa"/>
              <w:start w:w="50" w:type="dxa"/>
              <w:bottom w:w="50" w:type="dxa"/>
              <w:end w:w="50" w:type="dxa"/>
            </w:tcMar>
          </w:tcPr>
          <w:p>
            <w:r>
              <w:rPr>
                <w:rFonts w:ascii="Aptos" w:hAnsi="Aptos"/>
                <w:sz w:val="13"/>
              </w:rPr>
              <w:t>350,000</w:t>
            </w:r>
          </w:p>
        </w:tc>
        <w:tc>
          <w:tcPr>
            <w:tcW w:type="dxa" w:w="841248"/>
            <w:vAlign w:val="center"/>
            <w:tcMar>
              <w:top w:w="50" w:type="dxa"/>
              <w:start w:w="50" w:type="dxa"/>
              <w:bottom w:w="50" w:type="dxa"/>
              <w:end w:w="50" w:type="dxa"/>
            </w:tcMar>
          </w:tcPr>
          <w:p>
            <w:r>
              <w:rPr>
                <w:rFonts w:ascii="Aptos" w:hAnsi="Aptos"/>
                <w:sz w:val="13"/>
              </w:rPr>
              <w:t>300,000</w:t>
            </w:r>
          </w:p>
        </w:tc>
        <w:tc>
          <w:tcPr>
            <w:tcW w:type="dxa" w:w="841248"/>
            <w:vAlign w:val="center"/>
            <w:tcMar>
              <w:top w:w="50" w:type="dxa"/>
              <w:start w:w="50" w:type="dxa"/>
              <w:bottom w:w="50" w:type="dxa"/>
              <w:end w:w="50" w:type="dxa"/>
            </w:tcMar>
          </w:tcPr>
          <w:p>
            <w:r>
              <w:rPr>
                <w:rFonts w:ascii="Aptos" w:hAnsi="Aptos"/>
                <w:sz w:val="13"/>
              </w:rPr>
              <w:t>350,000</w:t>
            </w:r>
          </w:p>
        </w:tc>
        <w:tc>
          <w:tcPr>
            <w:tcW w:type="dxa" w:w="841248"/>
            <w:vAlign w:val="center"/>
            <w:tcMar>
              <w:top w:w="50" w:type="dxa"/>
              <w:start w:w="50" w:type="dxa"/>
              <w:bottom w:w="50" w:type="dxa"/>
              <w:end w:w="50" w:type="dxa"/>
            </w:tcMar>
          </w:tcPr>
          <w:p>
            <w:r>
              <w:rPr>
                <w:rFonts w:ascii="Aptos" w:hAnsi="Aptos"/>
                <w:sz w:val="13"/>
              </w:rPr>
              <w:t>400,000</w:t>
            </w:r>
          </w:p>
        </w:tc>
        <w:tc>
          <w:tcPr>
            <w:tcW w:type="dxa" w:w="914400"/>
            <w:vAlign w:val="center"/>
            <w:tcMar>
              <w:top w:w="50" w:type="dxa"/>
              <w:start w:w="50" w:type="dxa"/>
              <w:bottom w:w="50" w:type="dxa"/>
              <w:end w:w="50" w:type="dxa"/>
            </w:tcMar>
          </w:tcPr>
          <w:p>
            <w:r>
              <w:rPr>
                <w:rFonts w:ascii="Aptos" w:hAnsi="Aptos"/>
                <w:sz w:val="13"/>
              </w:rPr>
              <w:t>1,050,000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9.4</w:t>
            </w:r>
          </w:p>
        </w:tc>
        <w:tc>
          <w:tcPr>
            <w:tcW w:type="dxa" w:w="2971800"/>
            <w:vAlign w:val="center"/>
            <w:tcMar>
              <w:top w:w="50" w:type="dxa"/>
              <w:start w:w="50" w:type="dxa"/>
              <w:bottom w:w="50" w:type="dxa"/>
              <w:end w:w="50" w:type="dxa"/>
            </w:tcMar>
            <w:shd w:fill="F7F9FB"/>
          </w:tcPr>
          <w:p>
            <w:r>
              <w:rPr>
                <w:rFonts w:ascii="Aptos" w:hAnsi="Aptos"/>
                <w:sz w:val="13"/>
              </w:rPr>
              <w:t>Documentation, communications products and replication package</w:t>
            </w:r>
          </w:p>
        </w:tc>
        <w:tc>
          <w:tcPr>
            <w:tcW w:type="dxa" w:w="603504"/>
            <w:vAlign w:val="center"/>
            <w:tcMar>
              <w:top w:w="50" w:type="dxa"/>
              <w:start w:w="50" w:type="dxa"/>
              <w:bottom w:w="50" w:type="dxa"/>
              <w:end w:w="50" w:type="dxa"/>
            </w:tcMar>
            <w:shd w:fill="F7F9FB"/>
          </w:tcPr>
          <w:p>
            <w:r>
              <w:rPr>
                <w:rFonts w:ascii="Aptos" w:hAnsi="Aptos"/>
                <w:sz w:val="13"/>
              </w:rPr>
              <w:t>package</w:t>
            </w:r>
          </w:p>
        </w:tc>
        <w:tc>
          <w:tcPr>
            <w:tcW w:type="dxa" w:w="438912"/>
            <w:vAlign w:val="center"/>
            <w:tcMar>
              <w:top w:w="50" w:type="dxa"/>
              <w:start w:w="50" w:type="dxa"/>
              <w:bottom w:w="50" w:type="dxa"/>
              <w:end w:w="50" w:type="dxa"/>
            </w:tcMar>
            <w:shd w:fill="F7F9FB"/>
          </w:tcPr>
          <w:p>
            <w:r>
              <w:rPr>
                <w:rFonts w:ascii="Aptos" w:hAnsi="Aptos"/>
                <w:sz w:val="13"/>
              </w:rPr>
              <w:t>1</w:t>
            </w:r>
          </w:p>
        </w:tc>
        <w:tc>
          <w:tcPr>
            <w:tcW w:type="dxa" w:w="841248"/>
            <w:vAlign w:val="center"/>
            <w:tcMar>
              <w:top w:w="50" w:type="dxa"/>
              <w:start w:w="50" w:type="dxa"/>
              <w:bottom w:w="50" w:type="dxa"/>
              <w:end w:w="50" w:type="dxa"/>
            </w:tcMar>
            <w:shd w:fill="F7F9FB"/>
          </w:tcPr>
          <w:p>
            <w:r>
              <w:rPr>
                <w:rFonts w:ascii="Aptos" w:hAnsi="Aptos"/>
                <w:sz w:val="13"/>
              </w:rPr>
              <w:t>630,000</w:t>
            </w:r>
          </w:p>
        </w:tc>
        <w:tc>
          <w:tcPr>
            <w:tcW w:type="dxa" w:w="841248"/>
            <w:vAlign w:val="center"/>
            <w:tcMar>
              <w:top w:w="50" w:type="dxa"/>
              <w:start w:w="50" w:type="dxa"/>
              <w:bottom w:w="50" w:type="dxa"/>
              <w:end w:w="50" w:type="dxa"/>
            </w:tcMar>
            <w:shd w:fill="F7F9FB"/>
          </w:tcPr>
          <w:p>
            <w:r>
              <w:rPr>
                <w:rFonts w:ascii="Aptos" w:hAnsi="Aptos"/>
                <w:sz w:val="13"/>
              </w:rPr>
              <w:t>100,000</w:t>
            </w:r>
          </w:p>
        </w:tc>
        <w:tc>
          <w:tcPr>
            <w:tcW w:type="dxa" w:w="841248"/>
            <w:vAlign w:val="center"/>
            <w:tcMar>
              <w:top w:w="50" w:type="dxa"/>
              <w:start w:w="50" w:type="dxa"/>
              <w:bottom w:w="50" w:type="dxa"/>
              <w:end w:w="50" w:type="dxa"/>
            </w:tcMar>
            <w:shd w:fill="F7F9FB"/>
          </w:tcPr>
          <w:p>
            <w:r>
              <w:rPr>
                <w:rFonts w:ascii="Aptos" w:hAnsi="Aptos"/>
                <w:sz w:val="13"/>
              </w:rPr>
              <w:t>250,000</w:t>
            </w:r>
          </w:p>
        </w:tc>
        <w:tc>
          <w:tcPr>
            <w:tcW w:type="dxa" w:w="841248"/>
            <w:vAlign w:val="center"/>
            <w:tcMar>
              <w:top w:w="50" w:type="dxa"/>
              <w:start w:w="50" w:type="dxa"/>
              <w:bottom w:w="50" w:type="dxa"/>
              <w:end w:w="50" w:type="dxa"/>
            </w:tcMar>
            <w:shd w:fill="F7F9FB"/>
          </w:tcPr>
          <w:p>
            <w:r>
              <w:rPr>
                <w:rFonts w:ascii="Aptos" w:hAnsi="Aptos"/>
                <w:sz w:val="13"/>
              </w:rPr>
              <w:t>280,000</w:t>
            </w:r>
          </w:p>
        </w:tc>
        <w:tc>
          <w:tcPr>
            <w:tcW w:type="dxa" w:w="914400"/>
            <w:vAlign w:val="center"/>
            <w:tcMar>
              <w:top w:w="50" w:type="dxa"/>
              <w:start w:w="50" w:type="dxa"/>
              <w:bottom w:w="50" w:type="dxa"/>
              <w:end w:w="50" w:type="dxa"/>
            </w:tcMar>
            <w:shd w:fill="F7F9FB"/>
          </w:tcPr>
          <w:p>
            <w:r>
              <w:rPr>
                <w:rFonts w:ascii="Aptos" w:hAnsi="Aptos"/>
                <w:sz w:val="13"/>
              </w:rPr>
              <w:t>630,000</w:t>
            </w:r>
          </w:p>
        </w:tc>
      </w:tr>
      <w:tr>
        <w:trPr>
          <w:cantSplit/>
          <w:cantSplit/>
        </w:trPr>
        <w:tc>
          <w:tcPr>
            <w:tcW w:type="dxa" w:w="438912"/>
            <w:vAlign w:val="center"/>
            <w:tcMar>
              <w:top w:w="50" w:type="dxa"/>
              <w:start w:w="50" w:type="dxa"/>
              <w:bottom w:w="50" w:type="dxa"/>
              <w:end w:w="50" w:type="dxa"/>
            </w:tcMar>
          </w:tcPr>
          <w:p>
            <w:r>
              <w:rPr>
                <w:rFonts w:ascii="Aptos" w:hAnsi="Aptos"/>
                <w:sz w:val="13"/>
              </w:rPr>
              <w:t>9.5</w:t>
            </w:r>
          </w:p>
        </w:tc>
        <w:tc>
          <w:tcPr>
            <w:tcW w:type="dxa" w:w="2971800"/>
            <w:vAlign w:val="center"/>
            <w:tcMar>
              <w:top w:w="50" w:type="dxa"/>
              <w:start w:w="50" w:type="dxa"/>
              <w:bottom w:w="50" w:type="dxa"/>
              <w:end w:w="50" w:type="dxa"/>
            </w:tcMar>
          </w:tcPr>
          <w:p>
            <w:r>
              <w:rPr>
                <w:rFonts w:ascii="Aptos" w:hAnsi="Aptos"/>
                <w:sz w:val="13"/>
              </w:rPr>
              <w:t>M&amp;E data tools, spot checks and independent verification rounds</w:t>
            </w:r>
          </w:p>
        </w:tc>
        <w:tc>
          <w:tcPr>
            <w:tcW w:type="dxa" w:w="603504"/>
            <w:vAlign w:val="center"/>
            <w:tcMar>
              <w:top w:w="50" w:type="dxa"/>
              <w:start w:w="50" w:type="dxa"/>
              <w:bottom w:w="50" w:type="dxa"/>
              <w:end w:w="50" w:type="dxa"/>
            </w:tcMar>
          </w:tcPr>
          <w:p>
            <w:r>
              <w:rPr>
                <w:rFonts w:ascii="Aptos" w:hAnsi="Aptos"/>
                <w:sz w:val="13"/>
              </w:rPr>
              <w:t>round</w:t>
            </w:r>
          </w:p>
        </w:tc>
        <w:tc>
          <w:tcPr>
            <w:tcW w:type="dxa" w:w="438912"/>
            <w:vAlign w:val="center"/>
            <w:tcMar>
              <w:top w:w="50" w:type="dxa"/>
              <w:start w:w="50" w:type="dxa"/>
              <w:bottom w:w="50" w:type="dxa"/>
              <w:end w:w="50" w:type="dxa"/>
            </w:tcMar>
          </w:tcPr>
          <w:p>
            <w:r>
              <w:rPr>
                <w:rFonts w:ascii="Aptos" w:hAnsi="Aptos"/>
                <w:sz w:val="13"/>
              </w:rPr>
              <w:t>4</w:t>
            </w:r>
          </w:p>
        </w:tc>
        <w:tc>
          <w:tcPr>
            <w:tcW w:type="dxa" w:w="841248"/>
            <w:vAlign w:val="center"/>
            <w:tcMar>
              <w:top w:w="50" w:type="dxa"/>
              <w:start w:w="50" w:type="dxa"/>
              <w:bottom w:w="50" w:type="dxa"/>
              <w:end w:w="50" w:type="dxa"/>
            </w:tcMar>
          </w:tcPr>
          <w:p>
            <w:r>
              <w:rPr>
                <w:rFonts w:ascii="Aptos" w:hAnsi="Aptos"/>
                <w:sz w:val="13"/>
              </w:rPr>
              <w:t>100,000</w:t>
            </w:r>
          </w:p>
        </w:tc>
        <w:tc>
          <w:tcPr>
            <w:tcW w:type="dxa" w:w="841248"/>
            <w:vAlign w:val="center"/>
            <w:tcMar>
              <w:top w:w="50" w:type="dxa"/>
              <w:start w:w="50" w:type="dxa"/>
              <w:bottom w:w="50" w:type="dxa"/>
              <w:end w:w="50" w:type="dxa"/>
            </w:tcMar>
          </w:tcPr>
          <w:p>
            <w:r>
              <w:rPr>
                <w:rFonts w:ascii="Aptos" w:hAnsi="Aptos"/>
                <w:sz w:val="13"/>
              </w:rPr>
              <w:t>200,000</w:t>
            </w:r>
          </w:p>
        </w:tc>
        <w:tc>
          <w:tcPr>
            <w:tcW w:type="dxa" w:w="841248"/>
            <w:vAlign w:val="center"/>
            <w:tcMar>
              <w:top w:w="50" w:type="dxa"/>
              <w:start w:w="50" w:type="dxa"/>
              <w:bottom w:w="50" w:type="dxa"/>
              <w:end w:w="50" w:type="dxa"/>
            </w:tcMar>
          </w:tcPr>
          <w:p>
            <w:r>
              <w:rPr>
                <w:rFonts w:ascii="Aptos" w:hAnsi="Aptos"/>
                <w:sz w:val="13"/>
              </w:rPr>
              <w:t>100,000</w:t>
            </w:r>
          </w:p>
        </w:tc>
        <w:tc>
          <w:tcPr>
            <w:tcW w:type="dxa" w:w="841248"/>
            <w:vAlign w:val="center"/>
            <w:tcMar>
              <w:top w:w="50" w:type="dxa"/>
              <w:start w:w="50" w:type="dxa"/>
              <w:bottom w:w="50" w:type="dxa"/>
              <w:end w:w="50" w:type="dxa"/>
            </w:tcMar>
          </w:tcPr>
          <w:p>
            <w:r>
              <w:rPr>
                <w:rFonts w:ascii="Aptos" w:hAnsi="Aptos"/>
                <w:sz w:val="13"/>
              </w:rPr>
              <w:t>100,000</w:t>
            </w:r>
          </w:p>
        </w:tc>
        <w:tc>
          <w:tcPr>
            <w:tcW w:type="dxa" w:w="914400"/>
            <w:vAlign w:val="center"/>
            <w:tcMar>
              <w:top w:w="50" w:type="dxa"/>
              <w:start w:w="50" w:type="dxa"/>
              <w:bottom w:w="50" w:type="dxa"/>
              <w:end w:w="50" w:type="dxa"/>
            </w:tcMar>
          </w:tcPr>
          <w:p>
            <w:r>
              <w:rPr>
                <w:rFonts w:ascii="Aptos" w:hAnsi="Aptos"/>
                <w:sz w:val="13"/>
              </w:rPr>
              <w:t>400,000</w:t>
            </w:r>
          </w:p>
        </w:tc>
      </w:tr>
      <w:tr>
        <w:trPr>
          <w:cantSplit/>
          <w:cantSplit/>
        </w:trPr>
        <w:tc>
          <w:tcPr>
            <w:tcW w:type="dxa" w:w="8080"/>
            <w:gridSpan w:val="5"/>
            <w:vAlign w:val="center"/>
            <w:tcMar>
              <w:top w:w="50" w:type="dxa"/>
              <w:start w:w="50" w:type="dxa"/>
              <w:bottom w:w="50" w:type="dxa"/>
              <w:end w:w="50" w:type="dxa"/>
            </w:tcMar>
            <w:shd w:fill="F7F9FB"/>
          </w:tcPr>
          <w:p>
            <w:r>
              <w:rPr>
                <w:rFonts w:ascii="Aptos" w:hAnsi="Aptos"/>
                <w:sz w:val="13"/>
              </w:rPr>
              <w:t>Subtotal 9: Monitoring, evaluation, learning and replication</w:t>
            </w:r>
          </w:p>
        </w:tc>
        <w:tc>
          <w:tcPr>
            <w:tcW w:type="dxa" w:w="1616"/>
            <w:vAlign w:val="center"/>
            <w:tcMar>
              <w:top w:w="50" w:type="dxa"/>
              <w:start w:w="50" w:type="dxa"/>
              <w:bottom w:w="50" w:type="dxa"/>
              <w:end w:w="50" w:type="dxa"/>
            </w:tcMar>
            <w:shd w:fill="F7F9FB"/>
          </w:tcPr>
          <w:p>
            <w:r>
              <w:rPr>
                <w:rFonts w:ascii="Aptos" w:hAnsi="Aptos"/>
                <w:sz w:val="13"/>
              </w:rPr>
              <w:t>2,500,000</w:t>
            </w:r>
          </w:p>
        </w:tc>
        <w:tc>
          <w:tcPr>
            <w:tcW w:type="dxa" w:w="1616"/>
            <w:vAlign w:val="center"/>
            <w:tcMar>
              <w:top w:w="50" w:type="dxa"/>
              <w:start w:w="50" w:type="dxa"/>
              <w:bottom w:w="50" w:type="dxa"/>
              <w:end w:w="50" w:type="dxa"/>
            </w:tcMar>
            <w:shd w:fill="F7F9FB"/>
          </w:tcPr>
          <w:p>
            <w:r>
              <w:rPr>
                <w:rFonts w:ascii="Aptos" w:hAnsi="Aptos"/>
                <w:sz w:val="13"/>
              </w:rPr>
              <w:t>2,500,000</w:t>
            </w:r>
          </w:p>
        </w:tc>
        <w:tc>
          <w:tcPr>
            <w:tcW w:type="dxa" w:w="1616"/>
            <w:vAlign w:val="center"/>
            <w:tcMar>
              <w:top w:w="50" w:type="dxa"/>
              <w:start w:w="50" w:type="dxa"/>
              <w:bottom w:w="50" w:type="dxa"/>
              <w:end w:w="50" w:type="dxa"/>
            </w:tcMar>
            <w:shd w:fill="F7F9FB"/>
          </w:tcPr>
          <w:p>
            <w:r>
              <w:rPr>
                <w:rFonts w:ascii="Aptos" w:hAnsi="Aptos"/>
                <w:sz w:val="13"/>
              </w:rPr>
              <w:t>2,000,000</w:t>
            </w:r>
          </w:p>
        </w:tc>
        <w:tc>
          <w:tcPr>
            <w:tcW w:type="dxa" w:w="1616"/>
            <w:vAlign w:val="center"/>
            <w:tcMar>
              <w:top w:w="50" w:type="dxa"/>
              <w:start w:w="50" w:type="dxa"/>
              <w:bottom w:w="50" w:type="dxa"/>
              <w:end w:w="50" w:type="dxa"/>
            </w:tcMar>
            <w:shd w:fill="F7F9FB"/>
          </w:tcPr>
          <w:p>
            <w:r>
              <w:rPr>
                <w:rFonts w:ascii="Aptos" w:hAnsi="Aptos"/>
                <w:sz w:val="13"/>
              </w:rPr>
              <w:t>7,000,000</w:t>
            </w:r>
          </w:p>
        </w:tc>
      </w:tr>
      <w:tr>
        <w:trPr>
          <w:cantSplit/>
          <w:cantSplit/>
        </w:trPr>
        <w:tc>
          <w:tcPr>
            <w:tcW w:type="dxa" w:w="14544"/>
            <w:gridSpan w:val="9"/>
            <w:vAlign w:val="center"/>
            <w:tcMar>
              <w:top w:w="50" w:type="dxa"/>
              <w:start w:w="50" w:type="dxa"/>
              <w:bottom w:w="50" w:type="dxa"/>
              <w:end w:w="50" w:type="dxa"/>
            </w:tcMar>
            <w:shd w:fill="E2F0D9"/>
          </w:tcPr>
          <w:p>
            <w:r>
              <w:rPr>
                <w:rFonts w:ascii="Aptos" w:hAnsi="Aptos"/>
                <w:sz w:val="13"/>
              </w:rPr>
              <w:t>10. Consortium coordination, finance, audit and institutional overhead (Indirect cost; linked to Programme management)</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10.1</w:t>
            </w:r>
          </w:p>
        </w:tc>
        <w:tc>
          <w:tcPr>
            <w:tcW w:type="dxa" w:w="2971800"/>
            <w:vAlign w:val="center"/>
            <w:tcMar>
              <w:top w:w="50" w:type="dxa"/>
              <w:start w:w="50" w:type="dxa"/>
              <w:bottom w:w="50" w:type="dxa"/>
              <w:end w:w="50" w:type="dxa"/>
            </w:tcMar>
            <w:shd w:fill="F7F9FB"/>
          </w:tcPr>
          <w:p>
            <w:r>
              <w:rPr>
                <w:rFonts w:ascii="Aptos" w:hAnsi="Aptos"/>
                <w:sz w:val="13"/>
              </w:rPr>
              <w:t>Programme management and consortium coordination</w:t>
            </w:r>
          </w:p>
        </w:tc>
        <w:tc>
          <w:tcPr>
            <w:tcW w:type="dxa" w:w="603504"/>
            <w:vAlign w:val="center"/>
            <w:tcMar>
              <w:top w:w="50" w:type="dxa"/>
              <w:start w:w="50" w:type="dxa"/>
              <w:bottom w:w="50" w:type="dxa"/>
              <w:end w:w="50" w:type="dxa"/>
            </w:tcMar>
            <w:shd w:fill="F7F9FB"/>
          </w:tcPr>
          <w:p>
            <w:r>
              <w:rPr>
                <w:rFonts w:ascii="Aptos" w:hAnsi="Aptos"/>
                <w:sz w:val="13"/>
              </w:rPr>
              <w:t>annual package</w:t>
            </w:r>
          </w:p>
        </w:tc>
        <w:tc>
          <w:tcPr>
            <w:tcW w:type="dxa" w:w="438912"/>
            <w:vAlign w:val="center"/>
            <w:tcMar>
              <w:top w:w="50" w:type="dxa"/>
              <w:start w:w="50" w:type="dxa"/>
              <w:bottom w:w="50" w:type="dxa"/>
              <w:end w:w="50" w:type="dxa"/>
            </w:tcMar>
            <w:shd w:fill="F7F9FB"/>
          </w:tcPr>
          <w:p>
            <w:r>
              <w:rPr>
                <w:rFonts w:ascii="Aptos" w:hAnsi="Aptos"/>
                <w:sz w:val="13"/>
              </w:rPr>
              <w:t>3</w:t>
            </w:r>
          </w:p>
        </w:tc>
        <w:tc>
          <w:tcPr>
            <w:tcW w:type="dxa" w:w="841248"/>
            <w:vAlign w:val="center"/>
            <w:tcMar>
              <w:top w:w="50" w:type="dxa"/>
              <w:start w:w="50" w:type="dxa"/>
              <w:bottom w:w="50" w:type="dxa"/>
              <w:end w:w="50" w:type="dxa"/>
            </w:tcMar>
            <w:shd w:fill="F7F9FB"/>
          </w:tcPr>
          <w:p>
            <w:r>
              <w:rPr>
                <w:rFonts w:ascii="Aptos" w:hAnsi="Aptos"/>
                <w:sz w:val="13"/>
              </w:rPr>
              <w:t>2,000,000</w:t>
            </w:r>
          </w:p>
        </w:tc>
        <w:tc>
          <w:tcPr>
            <w:tcW w:type="dxa" w:w="841248"/>
            <w:vAlign w:val="center"/>
            <w:tcMar>
              <w:top w:w="50" w:type="dxa"/>
              <w:start w:w="50" w:type="dxa"/>
              <w:bottom w:w="50" w:type="dxa"/>
              <w:end w:w="50" w:type="dxa"/>
            </w:tcMar>
            <w:shd w:fill="F7F9FB"/>
          </w:tcPr>
          <w:p>
            <w:r>
              <w:rPr>
                <w:rFonts w:ascii="Aptos" w:hAnsi="Aptos"/>
                <w:sz w:val="13"/>
              </w:rPr>
              <w:t>2,000,000</w:t>
            </w:r>
          </w:p>
        </w:tc>
        <w:tc>
          <w:tcPr>
            <w:tcW w:type="dxa" w:w="841248"/>
            <w:vAlign w:val="center"/>
            <w:tcMar>
              <w:top w:w="50" w:type="dxa"/>
              <w:start w:w="50" w:type="dxa"/>
              <w:bottom w:w="50" w:type="dxa"/>
              <w:end w:w="50" w:type="dxa"/>
            </w:tcMar>
            <w:shd w:fill="F7F9FB"/>
          </w:tcPr>
          <w:p>
            <w:r>
              <w:rPr>
                <w:rFonts w:ascii="Aptos" w:hAnsi="Aptos"/>
                <w:sz w:val="13"/>
              </w:rPr>
              <w:t>2,000,000</w:t>
            </w:r>
          </w:p>
        </w:tc>
        <w:tc>
          <w:tcPr>
            <w:tcW w:type="dxa" w:w="841248"/>
            <w:vAlign w:val="center"/>
            <w:tcMar>
              <w:top w:w="50" w:type="dxa"/>
              <w:start w:w="50" w:type="dxa"/>
              <w:bottom w:w="50" w:type="dxa"/>
              <w:end w:w="50" w:type="dxa"/>
            </w:tcMar>
            <w:shd w:fill="F7F9FB"/>
          </w:tcPr>
          <w:p>
            <w:r>
              <w:rPr>
                <w:rFonts w:ascii="Aptos" w:hAnsi="Aptos"/>
                <w:sz w:val="13"/>
              </w:rPr>
              <w:t>2,000,000</w:t>
            </w:r>
          </w:p>
        </w:tc>
        <w:tc>
          <w:tcPr>
            <w:tcW w:type="dxa" w:w="914400"/>
            <w:vAlign w:val="center"/>
            <w:tcMar>
              <w:top w:w="50" w:type="dxa"/>
              <w:start w:w="50" w:type="dxa"/>
              <w:bottom w:w="50" w:type="dxa"/>
              <w:end w:w="50" w:type="dxa"/>
            </w:tcMar>
            <w:shd w:fill="F7F9FB"/>
          </w:tcPr>
          <w:p>
            <w:r>
              <w:rPr>
                <w:rFonts w:ascii="Aptos" w:hAnsi="Aptos"/>
                <w:sz w:val="13"/>
              </w:rPr>
              <w:t>6,000,000</w:t>
            </w:r>
          </w:p>
        </w:tc>
      </w:tr>
      <w:tr>
        <w:trPr>
          <w:cantSplit/>
          <w:cantSplit/>
        </w:trPr>
        <w:tc>
          <w:tcPr>
            <w:tcW w:type="dxa" w:w="438912"/>
            <w:vAlign w:val="center"/>
            <w:tcMar>
              <w:top w:w="50" w:type="dxa"/>
              <w:start w:w="50" w:type="dxa"/>
              <w:bottom w:w="50" w:type="dxa"/>
              <w:end w:w="50" w:type="dxa"/>
            </w:tcMar>
          </w:tcPr>
          <w:p>
            <w:r>
              <w:rPr>
                <w:rFonts w:ascii="Aptos" w:hAnsi="Aptos"/>
                <w:sz w:val="13"/>
              </w:rPr>
              <w:t>10.2</w:t>
            </w:r>
          </w:p>
        </w:tc>
        <w:tc>
          <w:tcPr>
            <w:tcW w:type="dxa" w:w="2971800"/>
            <w:vAlign w:val="center"/>
            <w:tcMar>
              <w:top w:w="50" w:type="dxa"/>
              <w:start w:w="50" w:type="dxa"/>
              <w:bottom w:w="50" w:type="dxa"/>
              <w:end w:w="50" w:type="dxa"/>
            </w:tcMar>
          </w:tcPr>
          <w:p>
            <w:r>
              <w:rPr>
                <w:rFonts w:ascii="Aptos" w:hAnsi="Aptos"/>
                <w:sz w:val="13"/>
              </w:rPr>
              <w:t>Finance, procurement, grants administration and reporting support</w:t>
            </w:r>
          </w:p>
        </w:tc>
        <w:tc>
          <w:tcPr>
            <w:tcW w:type="dxa" w:w="603504"/>
            <w:vAlign w:val="center"/>
            <w:tcMar>
              <w:top w:w="50" w:type="dxa"/>
              <w:start w:w="50" w:type="dxa"/>
              <w:bottom w:w="50" w:type="dxa"/>
              <w:end w:w="50" w:type="dxa"/>
            </w:tcMar>
          </w:tcPr>
          <w:p>
            <w:r>
              <w:rPr>
                <w:rFonts w:ascii="Aptos" w:hAnsi="Aptos"/>
                <w:sz w:val="13"/>
              </w:rPr>
              <w:t>month</w:t>
            </w:r>
          </w:p>
        </w:tc>
        <w:tc>
          <w:tcPr>
            <w:tcW w:type="dxa" w:w="438912"/>
            <w:vAlign w:val="center"/>
            <w:tcMar>
              <w:top w:w="50" w:type="dxa"/>
              <w:start w:w="50" w:type="dxa"/>
              <w:bottom w:w="50" w:type="dxa"/>
              <w:end w:w="50" w:type="dxa"/>
            </w:tcMar>
          </w:tcPr>
          <w:p>
            <w:r>
              <w:rPr>
                <w:rFonts w:ascii="Aptos" w:hAnsi="Aptos"/>
                <w:sz w:val="13"/>
              </w:rPr>
              <w:t>36</w:t>
            </w:r>
          </w:p>
        </w:tc>
        <w:tc>
          <w:tcPr>
            <w:tcW w:type="dxa" w:w="841248"/>
            <w:vAlign w:val="center"/>
            <w:tcMar>
              <w:top w:w="50" w:type="dxa"/>
              <w:start w:w="50" w:type="dxa"/>
              <w:bottom w:w="50" w:type="dxa"/>
              <w:end w:w="50" w:type="dxa"/>
            </w:tcMar>
          </w:tcPr>
          <w:p>
            <w:r>
              <w:rPr>
                <w:rFonts w:ascii="Aptos" w:hAnsi="Aptos"/>
                <w:sz w:val="13"/>
              </w:rPr>
              <w:t>100,000</w:t>
            </w:r>
          </w:p>
        </w:tc>
        <w:tc>
          <w:tcPr>
            <w:tcW w:type="dxa" w:w="841248"/>
            <w:vAlign w:val="center"/>
            <w:tcMar>
              <w:top w:w="50" w:type="dxa"/>
              <w:start w:w="50" w:type="dxa"/>
              <w:bottom w:w="50" w:type="dxa"/>
              <w:end w:w="50" w:type="dxa"/>
            </w:tcMar>
          </w:tcPr>
          <w:p>
            <w:r>
              <w:rPr>
                <w:rFonts w:ascii="Aptos" w:hAnsi="Aptos"/>
                <w:sz w:val="13"/>
              </w:rPr>
              <w:t>1,200,000</w:t>
            </w:r>
          </w:p>
        </w:tc>
        <w:tc>
          <w:tcPr>
            <w:tcW w:type="dxa" w:w="841248"/>
            <w:vAlign w:val="center"/>
            <w:tcMar>
              <w:top w:w="50" w:type="dxa"/>
              <w:start w:w="50" w:type="dxa"/>
              <w:bottom w:w="50" w:type="dxa"/>
              <w:end w:w="50" w:type="dxa"/>
            </w:tcMar>
          </w:tcPr>
          <w:p>
            <w:r>
              <w:rPr>
                <w:rFonts w:ascii="Aptos" w:hAnsi="Aptos"/>
                <w:sz w:val="13"/>
              </w:rPr>
              <w:t>1,200,000</w:t>
            </w:r>
          </w:p>
        </w:tc>
        <w:tc>
          <w:tcPr>
            <w:tcW w:type="dxa" w:w="841248"/>
            <w:vAlign w:val="center"/>
            <w:tcMar>
              <w:top w:w="50" w:type="dxa"/>
              <w:start w:w="50" w:type="dxa"/>
              <w:bottom w:w="50" w:type="dxa"/>
              <w:end w:w="50" w:type="dxa"/>
            </w:tcMar>
          </w:tcPr>
          <w:p>
            <w:r>
              <w:rPr>
                <w:rFonts w:ascii="Aptos" w:hAnsi="Aptos"/>
                <w:sz w:val="13"/>
              </w:rPr>
              <w:t>1,200,000</w:t>
            </w:r>
          </w:p>
        </w:tc>
        <w:tc>
          <w:tcPr>
            <w:tcW w:type="dxa" w:w="914400"/>
            <w:vAlign w:val="center"/>
            <w:tcMar>
              <w:top w:w="50" w:type="dxa"/>
              <w:start w:w="50" w:type="dxa"/>
              <w:bottom w:w="50" w:type="dxa"/>
              <w:end w:w="50" w:type="dxa"/>
            </w:tcMar>
          </w:tcPr>
          <w:p>
            <w:r>
              <w:rPr>
                <w:rFonts w:ascii="Aptos" w:hAnsi="Aptos"/>
                <w:sz w:val="13"/>
              </w:rPr>
              <w:t>3,600,000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10.3</w:t>
            </w:r>
          </w:p>
        </w:tc>
        <w:tc>
          <w:tcPr>
            <w:tcW w:type="dxa" w:w="2971800"/>
            <w:vAlign w:val="center"/>
            <w:tcMar>
              <w:top w:w="50" w:type="dxa"/>
              <w:start w:w="50" w:type="dxa"/>
              <w:bottom w:w="50" w:type="dxa"/>
              <w:end w:w="50" w:type="dxa"/>
            </w:tcMar>
            <w:shd w:fill="F7F9FB"/>
          </w:tcPr>
          <w:p>
            <w:r>
              <w:rPr>
                <w:rFonts w:ascii="Aptos" w:hAnsi="Aptos"/>
                <w:sz w:val="13"/>
              </w:rPr>
              <w:t>Office operations, communications, utilities and insurance</w:t>
            </w:r>
          </w:p>
        </w:tc>
        <w:tc>
          <w:tcPr>
            <w:tcW w:type="dxa" w:w="603504"/>
            <w:vAlign w:val="center"/>
            <w:tcMar>
              <w:top w:w="50" w:type="dxa"/>
              <w:start w:w="50" w:type="dxa"/>
              <w:bottom w:w="50" w:type="dxa"/>
              <w:end w:w="50" w:type="dxa"/>
            </w:tcMar>
            <w:shd w:fill="F7F9FB"/>
          </w:tcPr>
          <w:p>
            <w:r>
              <w:rPr>
                <w:rFonts w:ascii="Aptos" w:hAnsi="Aptos"/>
                <w:sz w:val="13"/>
              </w:rPr>
              <w:t>annual package</w:t>
            </w:r>
          </w:p>
        </w:tc>
        <w:tc>
          <w:tcPr>
            <w:tcW w:type="dxa" w:w="438912"/>
            <w:vAlign w:val="center"/>
            <w:tcMar>
              <w:top w:w="50" w:type="dxa"/>
              <w:start w:w="50" w:type="dxa"/>
              <w:bottom w:w="50" w:type="dxa"/>
              <w:end w:w="50" w:type="dxa"/>
            </w:tcMar>
            <w:shd w:fill="F7F9FB"/>
          </w:tcPr>
          <w:p>
            <w:r>
              <w:rPr>
                <w:rFonts w:ascii="Aptos" w:hAnsi="Aptos"/>
                <w:sz w:val="13"/>
              </w:rPr>
              <w:t>3</w:t>
            </w:r>
          </w:p>
        </w:tc>
        <w:tc>
          <w:tcPr>
            <w:tcW w:type="dxa" w:w="841248"/>
            <w:vAlign w:val="center"/>
            <w:tcMar>
              <w:top w:w="50" w:type="dxa"/>
              <w:start w:w="50" w:type="dxa"/>
              <w:bottom w:w="50" w:type="dxa"/>
              <w:end w:w="50" w:type="dxa"/>
            </w:tcMar>
            <w:shd w:fill="F7F9FB"/>
          </w:tcPr>
          <w:p>
            <w:r>
              <w:rPr>
                <w:rFonts w:ascii="Aptos" w:hAnsi="Aptos"/>
                <w:sz w:val="13"/>
              </w:rPr>
              <w:t>700,000</w:t>
            </w:r>
          </w:p>
        </w:tc>
        <w:tc>
          <w:tcPr>
            <w:tcW w:type="dxa" w:w="841248"/>
            <w:vAlign w:val="center"/>
            <w:tcMar>
              <w:top w:w="50" w:type="dxa"/>
              <w:start w:w="50" w:type="dxa"/>
              <w:bottom w:w="50" w:type="dxa"/>
              <w:end w:w="50" w:type="dxa"/>
            </w:tcMar>
            <w:shd w:fill="F7F9FB"/>
          </w:tcPr>
          <w:p>
            <w:r>
              <w:rPr>
                <w:rFonts w:ascii="Aptos" w:hAnsi="Aptos"/>
                <w:sz w:val="13"/>
              </w:rPr>
              <w:t>800,000</w:t>
            </w:r>
          </w:p>
        </w:tc>
        <w:tc>
          <w:tcPr>
            <w:tcW w:type="dxa" w:w="841248"/>
            <w:vAlign w:val="center"/>
            <w:tcMar>
              <w:top w:w="50" w:type="dxa"/>
              <w:start w:w="50" w:type="dxa"/>
              <w:bottom w:w="50" w:type="dxa"/>
              <w:end w:w="50" w:type="dxa"/>
            </w:tcMar>
            <w:shd w:fill="F7F9FB"/>
          </w:tcPr>
          <w:p>
            <w:r>
              <w:rPr>
                <w:rFonts w:ascii="Aptos" w:hAnsi="Aptos"/>
                <w:sz w:val="13"/>
              </w:rPr>
              <w:t>800,000</w:t>
            </w:r>
          </w:p>
        </w:tc>
        <w:tc>
          <w:tcPr>
            <w:tcW w:type="dxa" w:w="841248"/>
            <w:vAlign w:val="center"/>
            <w:tcMar>
              <w:top w:w="50" w:type="dxa"/>
              <w:start w:w="50" w:type="dxa"/>
              <w:bottom w:w="50" w:type="dxa"/>
              <w:end w:w="50" w:type="dxa"/>
            </w:tcMar>
            <w:shd w:fill="F7F9FB"/>
          </w:tcPr>
          <w:p>
            <w:r>
              <w:rPr>
                <w:rFonts w:ascii="Aptos" w:hAnsi="Aptos"/>
                <w:sz w:val="13"/>
              </w:rPr>
              <w:t>500,000</w:t>
            </w:r>
          </w:p>
        </w:tc>
        <w:tc>
          <w:tcPr>
            <w:tcW w:type="dxa" w:w="914400"/>
            <w:vAlign w:val="center"/>
            <w:tcMar>
              <w:top w:w="50" w:type="dxa"/>
              <w:start w:w="50" w:type="dxa"/>
              <w:bottom w:w="50" w:type="dxa"/>
              <w:end w:w="50" w:type="dxa"/>
            </w:tcMar>
            <w:shd w:fill="F7F9FB"/>
          </w:tcPr>
          <w:p>
            <w:r>
              <w:rPr>
                <w:rFonts w:ascii="Aptos" w:hAnsi="Aptos"/>
                <w:sz w:val="13"/>
              </w:rPr>
              <w:t>2,100,000</w:t>
            </w:r>
          </w:p>
        </w:tc>
      </w:tr>
      <w:tr>
        <w:trPr>
          <w:cantSplit/>
          <w:cantSplit/>
        </w:trPr>
        <w:tc>
          <w:tcPr>
            <w:tcW w:type="dxa" w:w="438912"/>
            <w:vAlign w:val="center"/>
            <w:tcMar>
              <w:top w:w="50" w:type="dxa"/>
              <w:start w:w="50" w:type="dxa"/>
              <w:bottom w:w="50" w:type="dxa"/>
              <w:end w:w="50" w:type="dxa"/>
            </w:tcMar>
          </w:tcPr>
          <w:p>
            <w:r>
              <w:rPr>
                <w:rFonts w:ascii="Aptos" w:hAnsi="Aptos"/>
                <w:sz w:val="13"/>
              </w:rPr>
              <w:t>10.4</w:t>
            </w:r>
          </w:p>
        </w:tc>
        <w:tc>
          <w:tcPr>
            <w:tcW w:type="dxa" w:w="2971800"/>
            <w:vAlign w:val="center"/>
            <w:tcMar>
              <w:top w:w="50" w:type="dxa"/>
              <w:start w:w="50" w:type="dxa"/>
              <w:bottom w:w="50" w:type="dxa"/>
              <w:end w:w="50" w:type="dxa"/>
            </w:tcMar>
          </w:tcPr>
          <w:p>
            <w:r>
              <w:rPr>
                <w:rFonts w:ascii="Aptos" w:hAnsi="Aptos"/>
                <w:sz w:val="13"/>
              </w:rPr>
              <w:t>Annual external financial audit</w:t>
            </w:r>
          </w:p>
        </w:tc>
        <w:tc>
          <w:tcPr>
            <w:tcW w:type="dxa" w:w="603504"/>
            <w:vAlign w:val="center"/>
            <w:tcMar>
              <w:top w:w="50" w:type="dxa"/>
              <w:start w:w="50" w:type="dxa"/>
              <w:bottom w:w="50" w:type="dxa"/>
              <w:end w:w="50" w:type="dxa"/>
            </w:tcMar>
          </w:tcPr>
          <w:p>
            <w:r>
              <w:rPr>
                <w:rFonts w:ascii="Aptos" w:hAnsi="Aptos"/>
                <w:sz w:val="13"/>
              </w:rPr>
              <w:t>audit</w:t>
            </w:r>
          </w:p>
        </w:tc>
        <w:tc>
          <w:tcPr>
            <w:tcW w:type="dxa" w:w="438912"/>
            <w:vAlign w:val="center"/>
            <w:tcMar>
              <w:top w:w="50" w:type="dxa"/>
              <w:start w:w="50" w:type="dxa"/>
              <w:bottom w:w="50" w:type="dxa"/>
              <w:end w:w="50" w:type="dxa"/>
            </w:tcMar>
          </w:tcPr>
          <w:p>
            <w:r>
              <w:rPr>
                <w:rFonts w:ascii="Aptos" w:hAnsi="Aptos"/>
                <w:sz w:val="13"/>
              </w:rPr>
              <w:t>3</w:t>
            </w:r>
          </w:p>
        </w:tc>
        <w:tc>
          <w:tcPr>
            <w:tcW w:type="dxa" w:w="841248"/>
            <w:vAlign w:val="center"/>
            <w:tcMar>
              <w:top w:w="50" w:type="dxa"/>
              <w:start w:w="50" w:type="dxa"/>
              <w:bottom w:w="50" w:type="dxa"/>
              <w:end w:w="50" w:type="dxa"/>
            </w:tcMar>
          </w:tcPr>
          <w:p>
            <w:r>
              <w:rPr>
                <w:rFonts w:ascii="Aptos" w:hAnsi="Aptos"/>
                <w:sz w:val="13"/>
              </w:rPr>
              <w:t>300,000</w:t>
            </w:r>
          </w:p>
        </w:tc>
        <w:tc>
          <w:tcPr>
            <w:tcW w:type="dxa" w:w="841248"/>
            <w:vAlign w:val="center"/>
            <w:tcMar>
              <w:top w:w="50" w:type="dxa"/>
              <w:start w:w="50" w:type="dxa"/>
              <w:bottom w:w="50" w:type="dxa"/>
              <w:end w:w="50" w:type="dxa"/>
            </w:tcMar>
          </w:tcPr>
          <w:p>
            <w:r>
              <w:rPr>
                <w:rFonts w:ascii="Aptos" w:hAnsi="Aptos"/>
                <w:sz w:val="13"/>
              </w:rPr>
              <w:t>300,000</w:t>
            </w:r>
          </w:p>
        </w:tc>
        <w:tc>
          <w:tcPr>
            <w:tcW w:type="dxa" w:w="841248"/>
            <w:vAlign w:val="center"/>
            <w:tcMar>
              <w:top w:w="50" w:type="dxa"/>
              <w:start w:w="50" w:type="dxa"/>
              <w:bottom w:w="50" w:type="dxa"/>
              <w:end w:w="50" w:type="dxa"/>
            </w:tcMar>
          </w:tcPr>
          <w:p>
            <w:r>
              <w:rPr>
                <w:rFonts w:ascii="Aptos" w:hAnsi="Aptos"/>
                <w:sz w:val="13"/>
              </w:rPr>
              <w:t>300,000</w:t>
            </w:r>
          </w:p>
        </w:tc>
        <w:tc>
          <w:tcPr>
            <w:tcW w:type="dxa" w:w="841248"/>
            <w:vAlign w:val="center"/>
            <w:tcMar>
              <w:top w:w="50" w:type="dxa"/>
              <w:start w:w="50" w:type="dxa"/>
              <w:bottom w:w="50" w:type="dxa"/>
              <w:end w:w="50" w:type="dxa"/>
            </w:tcMar>
          </w:tcPr>
          <w:p>
            <w:r>
              <w:rPr>
                <w:rFonts w:ascii="Aptos" w:hAnsi="Aptos"/>
                <w:sz w:val="13"/>
              </w:rPr>
              <w:t>300,000</w:t>
            </w:r>
          </w:p>
        </w:tc>
        <w:tc>
          <w:tcPr>
            <w:tcW w:type="dxa" w:w="914400"/>
            <w:vAlign w:val="center"/>
            <w:tcMar>
              <w:top w:w="50" w:type="dxa"/>
              <w:start w:w="50" w:type="dxa"/>
              <w:bottom w:w="50" w:type="dxa"/>
              <w:end w:w="50" w:type="dxa"/>
            </w:tcMar>
          </w:tcPr>
          <w:p>
            <w:r>
              <w:rPr>
                <w:rFonts w:ascii="Aptos" w:hAnsi="Aptos"/>
                <w:sz w:val="13"/>
              </w:rPr>
              <w:t>900,000</w:t>
            </w:r>
          </w:p>
        </w:tc>
      </w:tr>
      <w:tr>
        <w:trPr>
          <w:cantSplit/>
          <w:cantSplit/>
        </w:trPr>
        <w:tc>
          <w:tcPr>
            <w:tcW w:type="dxa" w:w="438912"/>
            <w:vAlign w:val="center"/>
            <w:tcMar>
              <w:top w:w="50" w:type="dxa"/>
              <w:start w:w="50" w:type="dxa"/>
              <w:bottom w:w="50" w:type="dxa"/>
              <w:end w:w="50" w:type="dxa"/>
            </w:tcMar>
            <w:shd w:fill="F7F9FB"/>
          </w:tcPr>
          <w:p>
            <w:r>
              <w:rPr>
                <w:rFonts w:ascii="Aptos" w:hAnsi="Aptos"/>
                <w:sz w:val="13"/>
              </w:rPr>
              <w:t>10.5</w:t>
            </w:r>
          </w:p>
        </w:tc>
        <w:tc>
          <w:tcPr>
            <w:tcW w:type="dxa" w:w="2971800"/>
            <w:vAlign w:val="center"/>
            <w:tcMar>
              <w:top w:w="50" w:type="dxa"/>
              <w:start w:w="50" w:type="dxa"/>
              <w:bottom w:w="50" w:type="dxa"/>
              <w:end w:w="50" w:type="dxa"/>
            </w:tcMar>
            <w:shd w:fill="F7F9FB"/>
          </w:tcPr>
          <w:p>
            <w:r>
              <w:rPr>
                <w:rFonts w:ascii="Aptos" w:hAnsi="Aptos"/>
                <w:sz w:val="13"/>
              </w:rPr>
              <w:t>Legal, banking and statutory administration</w:t>
            </w:r>
          </w:p>
        </w:tc>
        <w:tc>
          <w:tcPr>
            <w:tcW w:type="dxa" w:w="603504"/>
            <w:vAlign w:val="center"/>
            <w:tcMar>
              <w:top w:w="50" w:type="dxa"/>
              <w:start w:w="50" w:type="dxa"/>
              <w:bottom w:w="50" w:type="dxa"/>
              <w:end w:w="50" w:type="dxa"/>
            </w:tcMar>
            <w:shd w:fill="F7F9FB"/>
          </w:tcPr>
          <w:p>
            <w:r>
              <w:rPr>
                <w:rFonts w:ascii="Aptos" w:hAnsi="Aptos"/>
                <w:sz w:val="13"/>
              </w:rPr>
              <w:t>annual package</w:t>
            </w:r>
          </w:p>
        </w:tc>
        <w:tc>
          <w:tcPr>
            <w:tcW w:type="dxa" w:w="438912"/>
            <w:vAlign w:val="center"/>
            <w:tcMar>
              <w:top w:w="50" w:type="dxa"/>
              <w:start w:w="50" w:type="dxa"/>
              <w:bottom w:w="50" w:type="dxa"/>
              <w:end w:w="50" w:type="dxa"/>
            </w:tcMar>
            <w:shd w:fill="F7F9FB"/>
          </w:tcPr>
          <w:p>
            <w:r>
              <w:rPr>
                <w:rFonts w:ascii="Aptos" w:hAnsi="Aptos"/>
                <w:sz w:val="13"/>
              </w:rPr>
              <w:t>2</w:t>
            </w:r>
          </w:p>
        </w:tc>
        <w:tc>
          <w:tcPr>
            <w:tcW w:type="dxa" w:w="841248"/>
            <w:vAlign w:val="center"/>
            <w:tcMar>
              <w:top w:w="50" w:type="dxa"/>
              <w:start w:w="50" w:type="dxa"/>
              <w:bottom w:w="50" w:type="dxa"/>
              <w:end w:w="50" w:type="dxa"/>
            </w:tcMar>
            <w:shd w:fill="F7F9FB"/>
          </w:tcPr>
          <w:p>
            <w:r>
              <w:rPr>
                <w:rFonts w:ascii="Aptos" w:hAnsi="Aptos"/>
                <w:sz w:val="13"/>
              </w:rPr>
              <w:t>200,000</w:t>
            </w:r>
          </w:p>
        </w:tc>
        <w:tc>
          <w:tcPr>
            <w:tcW w:type="dxa" w:w="841248"/>
            <w:vAlign w:val="center"/>
            <w:tcMar>
              <w:top w:w="50" w:type="dxa"/>
              <w:start w:w="50" w:type="dxa"/>
              <w:bottom w:w="50" w:type="dxa"/>
              <w:end w:w="50" w:type="dxa"/>
            </w:tcMar>
            <w:shd w:fill="F7F9FB"/>
          </w:tcPr>
          <w:p>
            <w:r>
              <w:rPr>
                <w:rFonts w:ascii="Aptos" w:hAnsi="Aptos"/>
                <w:sz w:val="13"/>
              </w:rPr>
              <w:t>200,000</w:t>
            </w:r>
          </w:p>
        </w:tc>
        <w:tc>
          <w:tcPr>
            <w:tcW w:type="dxa" w:w="841248"/>
            <w:vAlign w:val="center"/>
            <w:tcMar>
              <w:top w:w="50" w:type="dxa"/>
              <w:start w:w="50" w:type="dxa"/>
              <w:bottom w:w="50" w:type="dxa"/>
              <w:end w:w="50" w:type="dxa"/>
            </w:tcMar>
            <w:shd w:fill="F7F9FB"/>
          </w:tcPr>
          <w:p>
            <w:r>
              <w:rPr>
                <w:rFonts w:ascii="Aptos" w:hAnsi="Aptos"/>
                <w:sz w:val="13"/>
              </w:rPr>
              <w:t>200,000</w:t>
            </w:r>
          </w:p>
        </w:tc>
        <w:tc>
          <w:tcPr>
            <w:tcW w:type="dxa" w:w="841248"/>
            <w:vAlign w:val="center"/>
            <w:tcMar>
              <w:top w:w="50" w:type="dxa"/>
              <w:start w:w="50" w:type="dxa"/>
              <w:bottom w:w="50" w:type="dxa"/>
              <w:end w:w="50" w:type="dxa"/>
            </w:tcMar>
            <w:shd w:fill="F7F9FB"/>
          </w:tcPr>
          <w:p>
            <w:r>
              <w:rPr>
                <w:rFonts w:ascii="Aptos" w:hAnsi="Aptos"/>
                <w:sz w:val="13"/>
              </w:rPr>
              <w:t>0</w:t>
            </w:r>
          </w:p>
        </w:tc>
        <w:tc>
          <w:tcPr>
            <w:tcW w:type="dxa" w:w="914400"/>
            <w:vAlign w:val="center"/>
            <w:tcMar>
              <w:top w:w="50" w:type="dxa"/>
              <w:start w:w="50" w:type="dxa"/>
              <w:bottom w:w="50" w:type="dxa"/>
              <w:end w:w="50" w:type="dxa"/>
            </w:tcMar>
            <w:shd w:fill="F7F9FB"/>
          </w:tcPr>
          <w:p>
            <w:r>
              <w:rPr>
                <w:rFonts w:ascii="Aptos" w:hAnsi="Aptos"/>
                <w:sz w:val="13"/>
              </w:rPr>
              <w:t>400,000</w:t>
            </w:r>
          </w:p>
        </w:tc>
      </w:tr>
      <w:tr>
        <w:trPr>
          <w:cantSplit/>
          <w:cantSplit/>
        </w:trPr>
        <w:tc>
          <w:tcPr>
            <w:tcW w:type="dxa" w:w="8080"/>
            <w:gridSpan w:val="5"/>
            <w:vAlign w:val="center"/>
            <w:tcMar>
              <w:top w:w="50" w:type="dxa"/>
              <w:start w:w="50" w:type="dxa"/>
              <w:bottom w:w="50" w:type="dxa"/>
              <w:end w:w="50" w:type="dxa"/>
            </w:tcMar>
            <w:shd w:fill="F0F6EC"/>
          </w:tcPr>
          <w:p>
            <w:r>
              <w:rPr>
                <w:rFonts w:ascii="Aptos" w:hAnsi="Aptos"/>
                <w:sz w:val="13"/>
              </w:rPr>
              <w:t>Subtotal 10: Consortium coordination, finance, audit and institutional overhead</w:t>
            </w:r>
          </w:p>
        </w:tc>
        <w:tc>
          <w:tcPr>
            <w:tcW w:type="dxa" w:w="1616"/>
            <w:vAlign w:val="center"/>
            <w:tcMar>
              <w:top w:w="50" w:type="dxa"/>
              <w:start w:w="50" w:type="dxa"/>
              <w:bottom w:w="50" w:type="dxa"/>
              <w:end w:w="50" w:type="dxa"/>
            </w:tcMar>
            <w:shd w:fill="F0F6EC"/>
          </w:tcPr>
          <w:p>
            <w:r>
              <w:rPr>
                <w:rFonts w:ascii="Aptos" w:hAnsi="Aptos"/>
                <w:sz w:val="13"/>
              </w:rPr>
              <w:t>4,500,000</w:t>
            </w:r>
          </w:p>
        </w:tc>
        <w:tc>
          <w:tcPr>
            <w:tcW w:type="dxa" w:w="1616"/>
            <w:vAlign w:val="center"/>
            <w:tcMar>
              <w:top w:w="50" w:type="dxa"/>
              <w:start w:w="50" w:type="dxa"/>
              <w:bottom w:w="50" w:type="dxa"/>
              <w:end w:w="50" w:type="dxa"/>
            </w:tcMar>
            <w:shd w:fill="F0F6EC"/>
          </w:tcPr>
          <w:p>
            <w:r>
              <w:rPr>
                <w:rFonts w:ascii="Aptos" w:hAnsi="Aptos"/>
                <w:sz w:val="13"/>
              </w:rPr>
              <w:t>4,500,000</w:t>
            </w:r>
          </w:p>
        </w:tc>
        <w:tc>
          <w:tcPr>
            <w:tcW w:type="dxa" w:w="1616"/>
            <w:vAlign w:val="center"/>
            <w:tcMar>
              <w:top w:w="50" w:type="dxa"/>
              <w:start w:w="50" w:type="dxa"/>
              <w:bottom w:w="50" w:type="dxa"/>
              <w:end w:w="50" w:type="dxa"/>
            </w:tcMar>
            <w:shd w:fill="F0F6EC"/>
          </w:tcPr>
          <w:p>
            <w:r>
              <w:rPr>
                <w:rFonts w:ascii="Aptos" w:hAnsi="Aptos"/>
                <w:sz w:val="13"/>
              </w:rPr>
              <w:t>4,000,000</w:t>
            </w:r>
          </w:p>
        </w:tc>
        <w:tc>
          <w:tcPr>
            <w:tcW w:type="dxa" w:w="1616"/>
            <w:vAlign w:val="center"/>
            <w:tcMar>
              <w:top w:w="50" w:type="dxa"/>
              <w:start w:w="50" w:type="dxa"/>
              <w:bottom w:w="50" w:type="dxa"/>
              <w:end w:w="50" w:type="dxa"/>
            </w:tcMar>
            <w:shd w:fill="F0F6EC"/>
          </w:tcPr>
          <w:p>
            <w:r>
              <w:rPr>
                <w:rFonts w:ascii="Aptos" w:hAnsi="Aptos"/>
                <w:sz w:val="13"/>
              </w:rPr>
              <w:t>13,000,000</w:t>
            </w:r>
          </w:p>
        </w:tc>
      </w:tr>
      <w:tr>
        <w:trPr>
          <w:cantSplit/>
          <w:cantSplit/>
        </w:trPr>
        <w:tc>
          <w:tcPr>
            <w:tcW w:type="dxa" w:w="8080"/>
            <w:gridSpan w:val="5"/>
            <w:vAlign w:val="center"/>
            <w:tcMar>
              <w:top w:w="50" w:type="dxa"/>
              <w:start w:w="50" w:type="dxa"/>
              <w:bottom w:w="50" w:type="dxa"/>
              <w:end w:w="50" w:type="dxa"/>
            </w:tcMar>
            <w:shd w:fill="F7F9FB"/>
          </w:tcPr>
          <w:p>
            <w:r>
              <w:rPr>
                <w:rFonts w:ascii="Aptos" w:hAnsi="Aptos"/>
                <w:sz w:val="13"/>
              </w:rPr>
              <w:t>TOTAL REQUESTED GRANT</w:t>
            </w:r>
          </w:p>
        </w:tc>
        <w:tc>
          <w:tcPr>
            <w:tcW w:type="dxa" w:w="1616"/>
            <w:vAlign w:val="center"/>
            <w:tcMar>
              <w:top w:w="50" w:type="dxa"/>
              <w:start w:w="50" w:type="dxa"/>
              <w:bottom w:w="50" w:type="dxa"/>
              <w:end w:w="50" w:type="dxa"/>
            </w:tcMar>
            <w:shd w:fill="F7F9FB"/>
          </w:tcPr>
          <w:p>
            <w:r>
              <w:rPr>
                <w:rFonts w:ascii="Aptos" w:hAnsi="Aptos"/>
                <w:sz w:val="13"/>
              </w:rPr>
              <w:t>52,000,000</w:t>
            </w:r>
          </w:p>
        </w:tc>
        <w:tc>
          <w:tcPr>
            <w:tcW w:type="dxa" w:w="1616"/>
            <w:vAlign w:val="center"/>
            <w:tcMar>
              <w:top w:w="50" w:type="dxa"/>
              <w:start w:w="50" w:type="dxa"/>
              <w:bottom w:w="50" w:type="dxa"/>
              <w:end w:w="50" w:type="dxa"/>
            </w:tcMar>
            <w:shd w:fill="F7F9FB"/>
          </w:tcPr>
          <w:p>
            <w:r>
              <w:rPr>
                <w:rFonts w:ascii="Aptos" w:hAnsi="Aptos"/>
                <w:sz w:val="13"/>
              </w:rPr>
              <w:t>50,000,000</w:t>
            </w:r>
          </w:p>
        </w:tc>
        <w:tc>
          <w:tcPr>
            <w:tcW w:type="dxa" w:w="1616"/>
            <w:vAlign w:val="center"/>
            <w:tcMar>
              <w:top w:w="50" w:type="dxa"/>
              <w:start w:w="50" w:type="dxa"/>
              <w:bottom w:w="50" w:type="dxa"/>
              <w:end w:w="50" w:type="dxa"/>
            </w:tcMar>
            <w:shd w:fill="F7F9FB"/>
          </w:tcPr>
          <w:p>
            <w:r>
              <w:rPr>
                <w:rFonts w:ascii="Aptos" w:hAnsi="Aptos"/>
                <w:sz w:val="13"/>
              </w:rPr>
              <w:t>36,000,000</w:t>
            </w:r>
          </w:p>
        </w:tc>
        <w:tc>
          <w:tcPr>
            <w:tcW w:type="dxa" w:w="1616"/>
            <w:vAlign w:val="center"/>
            <w:tcMar>
              <w:top w:w="50" w:type="dxa"/>
              <w:start w:w="50" w:type="dxa"/>
              <w:bottom w:w="50" w:type="dxa"/>
              <w:end w:w="50" w:type="dxa"/>
            </w:tcMar>
            <w:shd w:fill="F7F9FB"/>
          </w:tcPr>
          <w:p>
            <w:r>
              <w:rPr>
                <w:rFonts w:ascii="Aptos" w:hAnsi="Aptos"/>
                <w:sz w:val="13"/>
              </w:rPr>
              <w:t>138,000,000</w:t>
            </w:r>
          </w:p>
        </w:tc>
      </w:tr>
    </w:tbl>
    <w:p/>
    <w:p>
      <w:pPr>
        <w:pStyle w:val="Heading2"/>
      </w:pPr>
      <w:r>
        <w:t>Annex 6C. Budget Responsibility, Procurement and Output Linkage</w:t>
      </w:r>
    </w:p>
    <w:tbl>
      <w:tblPr>
        <w:tblStyle w:val="TableGrid"/>
        <w:tblW w:type="auto" w:w="0"/>
        <w:jc w:val="center"/>
        <w:tblLayout w:type="fixed"/>
        <w:tblLook w:firstColumn="1" w:firstRow="1" w:lastColumn="0" w:lastRow="0" w:noHBand="0" w:noVBand="1" w:val="04A0"/>
      </w:tblPr>
      <w:tblGrid>
        <w:gridCol w:w="2909"/>
        <w:gridCol w:w="2909"/>
        <w:gridCol w:w="2909"/>
        <w:gridCol w:w="2909"/>
        <w:gridCol w:w="2909"/>
      </w:tblGrid>
      <w:tr>
        <w:trPr>
          <w:tblHeader w:val="true"/>
          <w:tblHeader w:val="true"/>
        </w:trPr>
        <w:tc>
          <w:tcPr>
            <w:tcW w:type="dxa" w:w="502920"/>
            <w:vAlign w:val="center"/>
            <w:tcMar>
              <w:top w:w="50" w:type="dxa"/>
              <w:start w:w="50" w:type="dxa"/>
              <w:bottom w:w="50" w:type="dxa"/>
              <w:end w:w="50" w:type="dxa"/>
            </w:tcMar>
            <w:shd w:fill="17375E"/>
          </w:tcPr>
          <w:p>
            <w:r>
              <w:rPr>
                <w:rFonts w:ascii="Aptos" w:hAnsi="Aptos"/>
                <w:b/>
                <w:color w:val="FFFFFF"/>
                <w:sz w:val="13"/>
              </w:rPr>
              <w:t>Code</w:t>
            </w:r>
          </w:p>
        </w:tc>
        <w:tc>
          <w:tcPr>
            <w:tcW w:type="dxa" w:w="2331720"/>
            <w:vAlign w:val="center"/>
            <w:tcMar>
              <w:top w:w="50" w:type="dxa"/>
              <w:start w:w="50" w:type="dxa"/>
              <w:bottom w:w="50" w:type="dxa"/>
              <w:end w:w="50" w:type="dxa"/>
            </w:tcMar>
            <w:shd w:fill="17375E"/>
          </w:tcPr>
          <w:p>
            <w:r>
              <w:rPr>
                <w:rFonts w:ascii="Aptos" w:hAnsi="Aptos"/>
                <w:b/>
                <w:color w:val="FFFFFF"/>
                <w:sz w:val="13"/>
              </w:rPr>
              <w:t>Lead / accountable party</w:t>
            </w:r>
          </w:p>
        </w:tc>
        <w:tc>
          <w:tcPr>
            <w:tcW w:type="dxa" w:w="1920240"/>
            <w:vAlign w:val="center"/>
            <w:tcMar>
              <w:top w:w="50" w:type="dxa"/>
              <w:start w:w="50" w:type="dxa"/>
              <w:bottom w:w="50" w:type="dxa"/>
              <w:end w:w="50" w:type="dxa"/>
            </w:tcMar>
            <w:shd w:fill="17375E"/>
          </w:tcPr>
          <w:p>
            <w:r>
              <w:rPr>
                <w:rFonts w:ascii="Aptos" w:hAnsi="Aptos"/>
                <w:b/>
                <w:color w:val="FFFFFF"/>
                <w:sz w:val="13"/>
              </w:rPr>
              <w:t>Indicative procurement or disbursement method</w:t>
            </w:r>
          </w:p>
        </w:tc>
        <w:tc>
          <w:tcPr>
            <w:tcW w:type="dxa" w:w="2240280"/>
            <w:vAlign w:val="center"/>
            <w:tcMar>
              <w:top w:w="50" w:type="dxa"/>
              <w:start w:w="50" w:type="dxa"/>
              <w:bottom w:w="50" w:type="dxa"/>
              <w:end w:w="50" w:type="dxa"/>
            </w:tcMar>
            <w:shd w:fill="17375E"/>
          </w:tcPr>
          <w:p>
            <w:r>
              <w:rPr>
                <w:rFonts w:ascii="Aptos" w:hAnsi="Aptos"/>
                <w:b/>
                <w:color w:val="FFFFFF"/>
                <w:sz w:val="13"/>
              </w:rPr>
              <w:t>Primary output linkage</w:t>
            </w:r>
          </w:p>
        </w:tc>
        <w:tc>
          <w:tcPr>
            <w:tcW w:type="dxa" w:w="2057400"/>
            <w:vAlign w:val="center"/>
            <w:tcMar>
              <w:top w:w="50" w:type="dxa"/>
              <w:start w:w="50" w:type="dxa"/>
              <w:bottom w:w="50" w:type="dxa"/>
              <w:end w:w="50" w:type="dxa"/>
            </w:tcMar>
            <w:shd w:fill="17375E"/>
          </w:tcPr>
          <w:p>
            <w:r>
              <w:rPr>
                <w:rFonts w:ascii="Aptos" w:hAnsi="Aptos"/>
                <w:b/>
                <w:color w:val="FFFFFF"/>
                <w:sz w:val="13"/>
              </w:rPr>
              <w:t>Key control</w:t>
            </w:r>
          </w:p>
        </w:tc>
      </w:tr>
      <w:tr>
        <w:trPr>
          <w:cantSplit/>
          <w:cantSplit/>
        </w:trPr>
        <w:tc>
          <w:tcPr>
            <w:tcW w:type="dxa" w:w="502920"/>
            <w:vAlign w:val="center"/>
            <w:tcMar>
              <w:top w:w="50" w:type="dxa"/>
              <w:start w:w="50" w:type="dxa"/>
              <w:bottom w:w="50" w:type="dxa"/>
              <w:end w:w="50" w:type="dxa"/>
            </w:tcMar>
          </w:tcPr>
          <w:p>
            <w:r>
              <w:rPr>
                <w:rFonts w:ascii="Aptos" w:hAnsi="Aptos"/>
                <w:sz w:val="13"/>
              </w:rPr>
              <w:t>1</w:t>
            </w:r>
          </w:p>
        </w:tc>
        <w:tc>
          <w:tcPr>
            <w:tcW w:type="dxa" w:w="2331720"/>
            <w:vAlign w:val="center"/>
            <w:tcMar>
              <w:top w:w="50" w:type="dxa"/>
              <w:start w:w="50" w:type="dxa"/>
              <w:bottom w:w="50" w:type="dxa"/>
              <w:end w:w="50" w:type="dxa"/>
            </w:tcMar>
          </w:tcPr>
          <w:p>
            <w:r>
              <w:rPr>
                <w:rFonts w:ascii="Aptos" w:hAnsi="Aptos"/>
                <w:sz w:val="13"/>
              </w:rPr>
              <w:t>Labl Group East Africa / PMU</w:t>
            </w:r>
          </w:p>
        </w:tc>
        <w:tc>
          <w:tcPr>
            <w:tcW w:type="dxa" w:w="1920240"/>
            <w:vAlign w:val="center"/>
            <w:tcMar>
              <w:top w:w="50" w:type="dxa"/>
              <w:start w:w="50" w:type="dxa"/>
              <w:bottom w:w="50" w:type="dxa"/>
              <w:end w:w="50" w:type="dxa"/>
            </w:tcMar>
          </w:tcPr>
          <w:p>
            <w:r>
              <w:rPr>
                <w:rFonts w:ascii="Aptos" w:hAnsi="Aptos"/>
                <w:sz w:val="13"/>
              </w:rPr>
              <w:t>Competitive studies, consultancies and workshops</w:t>
            </w:r>
          </w:p>
        </w:tc>
        <w:tc>
          <w:tcPr>
            <w:tcW w:type="dxa" w:w="2240280"/>
            <w:vAlign w:val="center"/>
            <w:tcMar>
              <w:top w:w="50" w:type="dxa"/>
              <w:start w:w="50" w:type="dxa"/>
              <w:bottom w:w="50" w:type="dxa"/>
              <w:end w:w="50" w:type="dxa"/>
            </w:tcMar>
          </w:tcPr>
          <w:p>
            <w:r>
              <w:rPr>
                <w:rFonts w:ascii="Aptos" w:hAnsi="Aptos"/>
                <w:sz w:val="13"/>
              </w:rPr>
              <w:t>Approved baseline, market validation and regulatory roadmap</w:t>
            </w:r>
          </w:p>
        </w:tc>
        <w:tc>
          <w:tcPr>
            <w:tcW w:type="dxa" w:w="2057400"/>
            <w:vAlign w:val="center"/>
            <w:tcMar>
              <w:top w:w="50" w:type="dxa"/>
              <w:start w:w="50" w:type="dxa"/>
              <w:bottom w:w="50" w:type="dxa"/>
              <w:end w:w="50" w:type="dxa"/>
            </w:tcMar>
          </w:tcPr>
          <w:p>
            <w:r>
              <w:rPr>
                <w:rFonts w:ascii="Aptos" w:hAnsi="Aptos"/>
                <w:sz w:val="13"/>
              </w:rPr>
              <w:t>TORs, quotations, deliverable acceptance and donor approval</w:t>
            </w:r>
          </w:p>
        </w:tc>
      </w:tr>
      <w:tr>
        <w:trPr>
          <w:cantSplit/>
          <w:cantSplit/>
        </w:trPr>
        <w:tc>
          <w:tcPr>
            <w:tcW w:type="dxa" w:w="502920"/>
            <w:vAlign w:val="center"/>
            <w:tcMar>
              <w:top w:w="50" w:type="dxa"/>
              <w:start w:w="50" w:type="dxa"/>
              <w:bottom w:w="50" w:type="dxa"/>
              <w:end w:w="50" w:type="dxa"/>
            </w:tcMar>
            <w:shd w:fill="F7F9FB"/>
          </w:tcPr>
          <w:p>
            <w:r>
              <w:rPr>
                <w:rFonts w:ascii="Aptos" w:hAnsi="Aptos"/>
                <w:sz w:val="13"/>
              </w:rPr>
              <w:t>2</w:t>
            </w:r>
          </w:p>
        </w:tc>
        <w:tc>
          <w:tcPr>
            <w:tcW w:type="dxa" w:w="2331720"/>
            <w:vAlign w:val="center"/>
            <w:tcMar>
              <w:top w:w="50" w:type="dxa"/>
              <w:start w:w="50" w:type="dxa"/>
              <w:bottom w:w="50" w:type="dxa"/>
              <w:end w:w="50" w:type="dxa"/>
            </w:tcMar>
            <w:shd w:fill="F7F9FB"/>
          </w:tcPr>
          <w:p>
            <w:r>
              <w:rPr>
                <w:rFonts w:ascii="Aptos" w:hAnsi="Aptos"/>
                <w:sz w:val="13"/>
              </w:rPr>
              <w:t>Afribiz Consultancy Limited (registration and onboarding); Goblis Foundation (separate training, safeguarding and community-engagement role)</w:t>
            </w:r>
          </w:p>
        </w:tc>
        <w:tc>
          <w:tcPr>
            <w:tcW w:type="dxa" w:w="1920240"/>
            <w:vAlign w:val="center"/>
            <w:tcMar>
              <w:top w:w="50" w:type="dxa"/>
              <w:start w:w="50" w:type="dxa"/>
              <w:bottom w:w="50" w:type="dxa"/>
              <w:end w:w="50" w:type="dxa"/>
            </w:tcMar>
            <w:shd w:fill="F7F9FB"/>
          </w:tcPr>
          <w:p>
            <w:r>
              <w:rPr>
                <w:rFonts w:ascii="Aptos" w:hAnsi="Aptos"/>
                <w:sz w:val="13"/>
              </w:rPr>
              <w:t>Separate field-service and training contracts; activity budgets; competitively sourced equipment</w:t>
            </w:r>
          </w:p>
        </w:tc>
        <w:tc>
          <w:tcPr>
            <w:tcW w:type="dxa" w:w="2240280"/>
            <w:vAlign w:val="center"/>
            <w:tcMar>
              <w:top w:w="50" w:type="dxa"/>
              <w:start w:w="50" w:type="dxa"/>
              <w:bottom w:w="50" w:type="dxa"/>
              <w:end w:w="50" w:type="dxa"/>
            </w:tcMar>
            <w:shd w:fill="F7F9FB"/>
          </w:tcPr>
          <w:p>
            <w:r>
              <w:rPr>
                <w:rFonts w:ascii="Aptos" w:hAnsi="Aptos"/>
                <w:sz w:val="13"/>
              </w:rPr>
              <w:t>Verified registry and at least 12 functioning aggregation or producer structures</w:t>
            </w:r>
          </w:p>
        </w:tc>
        <w:tc>
          <w:tcPr>
            <w:tcW w:type="dxa" w:w="2057400"/>
            <w:vAlign w:val="center"/>
            <w:tcMar>
              <w:top w:w="50" w:type="dxa"/>
              <w:start w:w="50" w:type="dxa"/>
              <w:bottom w:w="50" w:type="dxa"/>
              <w:end w:w="50" w:type="dxa"/>
            </w:tcMar>
            <w:shd w:fill="F7F9FB"/>
          </w:tcPr>
          <w:p>
            <w:r>
              <w:rPr>
                <w:rFonts w:ascii="Aptos" w:hAnsi="Aptos"/>
                <w:sz w:val="13"/>
              </w:rPr>
              <w:t>Consent, duplicate checks, data verification, separate acceptance, safeguarding and segregation of duties</w:t>
            </w:r>
          </w:p>
        </w:tc>
      </w:tr>
      <w:tr>
        <w:trPr>
          <w:cantSplit/>
          <w:cantSplit/>
        </w:trPr>
        <w:tc>
          <w:tcPr>
            <w:tcW w:type="dxa" w:w="502920"/>
            <w:vAlign w:val="center"/>
            <w:tcMar>
              <w:top w:w="50" w:type="dxa"/>
              <w:start w:w="50" w:type="dxa"/>
              <w:bottom w:w="50" w:type="dxa"/>
              <w:end w:w="50" w:type="dxa"/>
            </w:tcMar>
          </w:tcPr>
          <w:p>
            <w:r>
              <w:rPr>
                <w:rFonts w:ascii="Aptos" w:hAnsi="Aptos"/>
                <w:sz w:val="13"/>
              </w:rPr>
              <w:t>3</w:t>
            </w:r>
          </w:p>
        </w:tc>
        <w:tc>
          <w:tcPr>
            <w:tcW w:type="dxa" w:w="2331720"/>
            <w:vAlign w:val="center"/>
            <w:tcMar>
              <w:top w:w="50" w:type="dxa"/>
              <w:start w:w="50" w:type="dxa"/>
              <w:bottom w:w="50" w:type="dxa"/>
              <w:end w:w="50" w:type="dxa"/>
            </w:tcMar>
          </w:tcPr>
          <w:p>
            <w:r>
              <w:rPr>
                <w:rFonts w:ascii="Aptos" w:hAnsi="Aptos"/>
                <w:sz w:val="13"/>
              </w:rPr>
              <w:t>Agriculture Lead; county departments; Goblis Foundation</w:t>
            </w:r>
          </w:p>
        </w:tc>
        <w:tc>
          <w:tcPr>
            <w:tcW w:type="dxa" w:w="1920240"/>
            <w:vAlign w:val="center"/>
            <w:tcMar>
              <w:top w:w="50" w:type="dxa"/>
              <w:start w:w="50" w:type="dxa"/>
              <w:bottom w:w="50" w:type="dxa"/>
              <w:end w:w="50" w:type="dxa"/>
            </w:tcMar>
          </w:tcPr>
          <w:p>
            <w:r>
              <w:rPr>
                <w:rFonts w:ascii="Aptos" w:hAnsi="Aptos"/>
                <w:sz w:val="13"/>
              </w:rPr>
              <w:t>Personnel contracts, training services and competitively procured inputs</w:t>
            </w:r>
          </w:p>
        </w:tc>
        <w:tc>
          <w:tcPr>
            <w:tcW w:type="dxa" w:w="2240280"/>
            <w:vAlign w:val="center"/>
            <w:tcMar>
              <w:top w:w="50" w:type="dxa"/>
              <w:start w:w="50" w:type="dxa"/>
              <w:bottom w:w="50" w:type="dxa"/>
              <w:end w:w="50" w:type="dxa"/>
            </w:tcMar>
          </w:tcPr>
          <w:p>
            <w:r>
              <w:rPr>
                <w:rFonts w:ascii="Aptos" w:hAnsi="Aptos"/>
                <w:sz w:val="13"/>
              </w:rPr>
              <w:t>Diversified production and extension capacity</w:t>
            </w:r>
          </w:p>
        </w:tc>
        <w:tc>
          <w:tcPr>
            <w:tcW w:type="dxa" w:w="2057400"/>
            <w:vAlign w:val="center"/>
            <w:tcMar>
              <w:top w:w="50" w:type="dxa"/>
              <w:start w:w="50" w:type="dxa"/>
              <w:bottom w:w="50" w:type="dxa"/>
              <w:end w:w="50" w:type="dxa"/>
            </w:tcMar>
          </w:tcPr>
          <w:p>
            <w:r>
              <w:rPr>
                <w:rFonts w:ascii="Aptos" w:hAnsi="Aptos"/>
                <w:sz w:val="13"/>
              </w:rPr>
              <w:t>Approved crop plans, attendance, stock controls and field verification</w:t>
            </w:r>
          </w:p>
        </w:tc>
      </w:tr>
      <w:tr>
        <w:trPr>
          <w:cantSplit/>
          <w:cantSplit/>
        </w:trPr>
        <w:tc>
          <w:tcPr>
            <w:tcW w:type="dxa" w:w="502920"/>
            <w:vAlign w:val="center"/>
            <w:tcMar>
              <w:top w:w="50" w:type="dxa"/>
              <w:start w:w="50" w:type="dxa"/>
              <w:bottom w:w="50" w:type="dxa"/>
              <w:end w:w="50" w:type="dxa"/>
            </w:tcMar>
            <w:shd w:fill="F7F9FB"/>
          </w:tcPr>
          <w:p>
            <w:r>
              <w:rPr>
                <w:rFonts w:ascii="Aptos" w:hAnsi="Aptos"/>
                <w:sz w:val="13"/>
              </w:rPr>
              <w:t>4</w:t>
            </w:r>
          </w:p>
        </w:tc>
        <w:tc>
          <w:tcPr>
            <w:tcW w:type="dxa" w:w="2331720"/>
            <w:vAlign w:val="center"/>
            <w:tcMar>
              <w:top w:w="50" w:type="dxa"/>
              <w:start w:w="50" w:type="dxa"/>
              <w:bottom w:w="50" w:type="dxa"/>
              <w:end w:w="50" w:type="dxa"/>
            </w:tcMar>
            <w:shd w:fill="F7F9FB"/>
          </w:tcPr>
          <w:p>
            <w:r>
              <w:rPr>
                <w:rFonts w:ascii="Aptos" w:hAnsi="Aptos"/>
                <w:sz w:val="13"/>
              </w:rPr>
              <w:t>Quality and Market Access Lead; Labl; Crostar</w:t>
            </w:r>
          </w:p>
        </w:tc>
        <w:tc>
          <w:tcPr>
            <w:tcW w:type="dxa" w:w="1920240"/>
            <w:vAlign w:val="center"/>
            <w:tcMar>
              <w:top w:w="50" w:type="dxa"/>
              <w:start w:w="50" w:type="dxa"/>
              <w:bottom w:w="50" w:type="dxa"/>
              <w:end w:w="50" w:type="dxa"/>
            </w:tcMar>
            <w:shd w:fill="F7F9FB"/>
          </w:tcPr>
          <w:p>
            <w:r>
              <w:rPr>
                <w:rFonts w:ascii="Aptos" w:hAnsi="Aptos"/>
                <w:sz w:val="13"/>
              </w:rPr>
              <w:t>Technical assistance, accredited laboratories and competitive equipment procurement</w:t>
            </w:r>
          </w:p>
        </w:tc>
        <w:tc>
          <w:tcPr>
            <w:tcW w:type="dxa" w:w="2240280"/>
            <w:vAlign w:val="center"/>
            <w:tcMar>
              <w:top w:w="50" w:type="dxa"/>
              <w:start w:w="50" w:type="dxa"/>
              <w:bottom w:w="50" w:type="dxa"/>
              <w:end w:w="50" w:type="dxa"/>
            </w:tcMar>
            <w:shd w:fill="F7F9FB"/>
          </w:tcPr>
          <w:p>
            <w:r>
              <w:rPr>
                <w:rFonts w:ascii="Aptos" w:hAnsi="Aptos"/>
                <w:sz w:val="13"/>
              </w:rPr>
              <w:t>Two QMS/ICS systems and certification readiness</w:t>
            </w:r>
          </w:p>
        </w:tc>
        <w:tc>
          <w:tcPr>
            <w:tcW w:type="dxa" w:w="2057400"/>
            <w:vAlign w:val="center"/>
            <w:tcMar>
              <w:top w:w="50" w:type="dxa"/>
              <w:start w:w="50" w:type="dxa"/>
              <w:bottom w:w="50" w:type="dxa"/>
              <w:end w:w="50" w:type="dxa"/>
            </w:tcMar>
            <w:shd w:fill="F7F9FB"/>
          </w:tcPr>
          <w:p>
            <w:r>
              <w:rPr>
                <w:rFonts w:ascii="Aptos" w:hAnsi="Aptos"/>
                <w:sz w:val="13"/>
              </w:rPr>
              <w:t>Accreditation checks, sample chain-of-custody and audit evidence</w:t>
            </w:r>
          </w:p>
        </w:tc>
      </w:tr>
      <w:tr>
        <w:trPr>
          <w:cantSplit/>
          <w:cantSplit/>
        </w:trPr>
        <w:tc>
          <w:tcPr>
            <w:tcW w:type="dxa" w:w="502920"/>
            <w:vAlign w:val="center"/>
            <w:tcMar>
              <w:top w:w="50" w:type="dxa"/>
              <w:start w:w="50" w:type="dxa"/>
              <w:bottom w:w="50" w:type="dxa"/>
              <w:end w:w="50" w:type="dxa"/>
            </w:tcMar>
          </w:tcPr>
          <w:p>
            <w:r>
              <w:rPr>
                <w:rFonts w:ascii="Aptos" w:hAnsi="Aptos"/>
                <w:sz w:val="13"/>
              </w:rPr>
              <w:t>5</w:t>
            </w:r>
          </w:p>
        </w:tc>
        <w:tc>
          <w:tcPr>
            <w:tcW w:type="dxa" w:w="2331720"/>
            <w:vAlign w:val="center"/>
            <w:tcMar>
              <w:top w:w="50" w:type="dxa"/>
              <w:start w:w="50" w:type="dxa"/>
              <w:bottom w:w="50" w:type="dxa"/>
              <w:end w:w="50" w:type="dxa"/>
            </w:tcMar>
          </w:tcPr>
          <w:p>
            <w:r>
              <w:rPr>
                <w:rFonts w:ascii="Aptos" w:hAnsi="Aptos"/>
                <w:sz w:val="13"/>
              </w:rPr>
              <w:t>Labl Group East Africa; Afrisol Technologies Limited; Product, Data, AI and Blockchain Governance Committee</w:t>
            </w:r>
          </w:p>
        </w:tc>
        <w:tc>
          <w:tcPr>
            <w:tcW w:type="dxa" w:w="1920240"/>
            <w:vAlign w:val="center"/>
            <w:tcMar>
              <w:top w:w="50" w:type="dxa"/>
              <w:start w:w="50" w:type="dxa"/>
              <w:bottom w:w="50" w:type="dxa"/>
              <w:end w:w="50" w:type="dxa"/>
            </w:tcMar>
          </w:tcPr>
          <w:p>
            <w:r>
              <w:rPr>
                <w:rFonts w:ascii="Aptos" w:hAnsi="Aptos"/>
                <w:sz w:val="13"/>
              </w:rPr>
              <w:t>Milestone-based software-development and support contract</w:t>
            </w:r>
          </w:p>
        </w:tc>
        <w:tc>
          <w:tcPr>
            <w:tcW w:type="dxa" w:w="2240280"/>
            <w:vAlign w:val="center"/>
            <w:tcMar>
              <w:top w:w="50" w:type="dxa"/>
              <w:start w:w="50" w:type="dxa"/>
              <w:bottom w:w="50" w:type="dxa"/>
              <w:end w:w="50" w:type="dxa"/>
            </w:tcMar>
          </w:tcPr>
          <w:p>
            <w:r>
              <w:rPr>
                <w:rFonts w:ascii="Aptos" w:hAnsi="Aptos"/>
                <w:sz w:val="13"/>
              </w:rPr>
              <w:t>Operational LaDOS/CEOS/AfriEuro modules, permissioned ledger, credentials, traceability, QA and transaction platform</w:t>
            </w:r>
          </w:p>
        </w:tc>
        <w:tc>
          <w:tcPr>
            <w:tcW w:type="dxa" w:w="2057400"/>
            <w:vAlign w:val="center"/>
            <w:tcMar>
              <w:top w:w="50" w:type="dxa"/>
              <w:start w:w="50" w:type="dxa"/>
              <w:bottom w:w="50" w:type="dxa"/>
              <w:end w:w="50" w:type="dxa"/>
            </w:tcMar>
          </w:tcPr>
          <w:p>
            <w:r>
              <w:rPr>
                <w:rFonts w:ascii="Aptos" w:hAnsi="Aptos"/>
                <w:sz w:val="13"/>
              </w:rPr>
              <w:t>Requirements sign-off, EPCIS/data standards, UAT, code/config audit, key governance, security testing, source/IP and data provisions</w:t>
            </w:r>
          </w:p>
        </w:tc>
      </w:tr>
      <w:tr>
        <w:trPr>
          <w:cantSplit/>
          <w:cantSplit/>
        </w:trPr>
        <w:tc>
          <w:tcPr>
            <w:tcW w:type="dxa" w:w="502920"/>
            <w:vAlign w:val="center"/>
            <w:tcMar>
              <w:top w:w="50" w:type="dxa"/>
              <w:start w:w="50" w:type="dxa"/>
              <w:bottom w:w="50" w:type="dxa"/>
              <w:end w:w="50" w:type="dxa"/>
            </w:tcMar>
            <w:shd w:fill="F7F9FB"/>
          </w:tcPr>
          <w:p>
            <w:r>
              <w:rPr>
                <w:rFonts w:ascii="Aptos" w:hAnsi="Aptos"/>
                <w:sz w:val="13"/>
              </w:rPr>
              <w:t>6</w:t>
            </w:r>
          </w:p>
        </w:tc>
        <w:tc>
          <w:tcPr>
            <w:tcW w:type="dxa" w:w="2331720"/>
            <w:vAlign w:val="center"/>
            <w:tcMar>
              <w:top w:w="50" w:type="dxa"/>
              <w:start w:w="50" w:type="dxa"/>
              <w:bottom w:w="50" w:type="dxa"/>
              <w:end w:w="50" w:type="dxa"/>
            </w:tcMar>
            <w:shd w:fill="F7F9FB"/>
          </w:tcPr>
          <w:p>
            <w:r>
              <w:rPr>
                <w:rFonts w:ascii="Aptos" w:hAnsi="Aptos"/>
                <w:sz w:val="13"/>
              </w:rPr>
              <w:t>Crostar Energy; Labl Group East Africa; Compliance Officer</w:t>
            </w:r>
          </w:p>
        </w:tc>
        <w:tc>
          <w:tcPr>
            <w:tcW w:type="dxa" w:w="1920240"/>
            <w:vAlign w:val="center"/>
            <w:tcMar>
              <w:top w:w="50" w:type="dxa"/>
              <w:start w:w="50" w:type="dxa"/>
              <w:bottom w:w="50" w:type="dxa"/>
              <w:end w:w="50" w:type="dxa"/>
            </w:tcMar>
            <w:shd w:fill="F7F9FB"/>
          </w:tcPr>
          <w:p>
            <w:r>
              <w:rPr>
                <w:rFonts w:ascii="Aptos" w:hAnsi="Aptos"/>
                <w:sz w:val="13"/>
              </w:rPr>
              <w:t>Competitive technical services, trial inputs and regulatory fees</w:t>
            </w:r>
          </w:p>
        </w:tc>
        <w:tc>
          <w:tcPr>
            <w:tcW w:type="dxa" w:w="2240280"/>
            <w:vAlign w:val="center"/>
            <w:tcMar>
              <w:top w:w="50" w:type="dxa"/>
              <w:start w:w="50" w:type="dxa"/>
              <w:bottom w:w="50" w:type="dxa"/>
              <w:end w:w="50" w:type="dxa"/>
            </w:tcMar>
            <w:shd w:fill="F7F9FB"/>
          </w:tcPr>
          <w:p>
            <w:r>
              <w:rPr>
                <w:rFonts w:ascii="Aptos" w:hAnsi="Aptos"/>
                <w:sz w:val="13"/>
              </w:rPr>
              <w:t>Validated processing trials and approvals pathway</w:t>
            </w:r>
          </w:p>
        </w:tc>
        <w:tc>
          <w:tcPr>
            <w:tcW w:type="dxa" w:w="2057400"/>
            <w:vAlign w:val="center"/>
            <w:tcMar>
              <w:top w:w="50" w:type="dxa"/>
              <w:start w:w="50" w:type="dxa"/>
              <w:bottom w:w="50" w:type="dxa"/>
              <w:end w:w="50" w:type="dxa"/>
            </w:tcMar>
            <w:shd w:fill="F7F9FB"/>
          </w:tcPr>
          <w:p>
            <w:r>
              <w:rPr>
                <w:rFonts w:ascii="Aptos" w:hAnsi="Aptos"/>
                <w:sz w:val="13"/>
              </w:rPr>
              <w:t>No unlicensed operations; permits, laboratory reports and asset controls</w:t>
            </w:r>
          </w:p>
        </w:tc>
      </w:tr>
      <w:tr>
        <w:trPr>
          <w:cantSplit/>
          <w:cantSplit/>
        </w:trPr>
        <w:tc>
          <w:tcPr>
            <w:tcW w:type="dxa" w:w="502920"/>
            <w:vAlign w:val="center"/>
            <w:tcMar>
              <w:top w:w="50" w:type="dxa"/>
              <w:start w:w="50" w:type="dxa"/>
              <w:bottom w:w="50" w:type="dxa"/>
              <w:end w:w="50" w:type="dxa"/>
            </w:tcMar>
          </w:tcPr>
          <w:p>
            <w:r>
              <w:rPr>
                <w:rFonts w:ascii="Aptos" w:hAnsi="Aptos"/>
                <w:sz w:val="13"/>
              </w:rPr>
              <w:t>7</w:t>
            </w:r>
          </w:p>
        </w:tc>
        <w:tc>
          <w:tcPr>
            <w:tcW w:type="dxa" w:w="2331720"/>
            <w:vAlign w:val="center"/>
            <w:tcMar>
              <w:top w:w="50" w:type="dxa"/>
              <w:start w:w="50" w:type="dxa"/>
              <w:bottom w:w="50" w:type="dxa"/>
              <w:end w:w="50" w:type="dxa"/>
            </w:tcMar>
          </w:tcPr>
          <w:p>
            <w:r>
              <w:rPr>
                <w:rFonts w:ascii="Aptos" w:hAnsi="Aptos"/>
                <w:sz w:val="13"/>
              </w:rPr>
              <w:t>Labl; Crostar; Labl Fashion B.V.</w:t>
            </w:r>
          </w:p>
        </w:tc>
        <w:tc>
          <w:tcPr>
            <w:tcW w:type="dxa" w:w="1920240"/>
            <w:vAlign w:val="center"/>
            <w:tcMar>
              <w:top w:w="50" w:type="dxa"/>
              <w:start w:w="50" w:type="dxa"/>
              <w:bottom w:w="50" w:type="dxa"/>
              <w:end w:w="50" w:type="dxa"/>
            </w:tcMar>
          </w:tcPr>
          <w:p>
            <w:r>
              <w:rPr>
                <w:rFonts w:ascii="Aptos" w:hAnsi="Aptos"/>
                <w:sz w:val="13"/>
              </w:rPr>
              <w:t>Competitive travel/services; documented buyer and transaction costs</w:t>
            </w:r>
          </w:p>
        </w:tc>
        <w:tc>
          <w:tcPr>
            <w:tcW w:type="dxa" w:w="2240280"/>
            <w:vAlign w:val="center"/>
            <w:tcMar>
              <w:top w:w="50" w:type="dxa"/>
              <w:start w:w="50" w:type="dxa"/>
              <w:bottom w:w="50" w:type="dxa"/>
              <w:end w:w="50" w:type="dxa"/>
            </w:tcMar>
          </w:tcPr>
          <w:p>
            <w:r>
              <w:rPr>
                <w:rFonts w:ascii="Aptos" w:hAnsi="Aptos"/>
                <w:sz w:val="13"/>
              </w:rPr>
              <w:t>Kenyan, Dutch and wider EU buyer pipeline and pilot transactions</w:t>
            </w:r>
          </w:p>
        </w:tc>
        <w:tc>
          <w:tcPr>
            <w:tcW w:type="dxa" w:w="2057400"/>
            <w:vAlign w:val="center"/>
            <w:tcMar>
              <w:top w:w="50" w:type="dxa"/>
              <w:start w:w="50" w:type="dxa"/>
              <w:bottom w:w="50" w:type="dxa"/>
              <w:end w:w="50" w:type="dxa"/>
            </w:tcMar>
          </w:tcPr>
          <w:p>
            <w:r>
              <w:rPr>
                <w:rFonts w:ascii="Aptos" w:hAnsi="Aptos"/>
                <w:sz w:val="13"/>
              </w:rPr>
              <w:t>Approved travel, buyer due diligence, contracts and transaction evidence</w:t>
            </w:r>
          </w:p>
        </w:tc>
      </w:tr>
      <w:tr>
        <w:trPr>
          <w:cantSplit/>
          <w:cantSplit/>
        </w:trPr>
        <w:tc>
          <w:tcPr>
            <w:tcW w:type="dxa" w:w="502920"/>
            <w:vAlign w:val="center"/>
            <w:tcMar>
              <w:top w:w="50" w:type="dxa"/>
              <w:start w:w="50" w:type="dxa"/>
              <w:bottom w:w="50" w:type="dxa"/>
              <w:end w:w="50" w:type="dxa"/>
            </w:tcMar>
            <w:shd w:fill="F7F9FB"/>
          </w:tcPr>
          <w:p>
            <w:r>
              <w:rPr>
                <w:rFonts w:ascii="Aptos" w:hAnsi="Aptos"/>
                <w:sz w:val="13"/>
              </w:rPr>
              <w:t>8</w:t>
            </w:r>
          </w:p>
        </w:tc>
        <w:tc>
          <w:tcPr>
            <w:tcW w:type="dxa" w:w="2331720"/>
            <w:vAlign w:val="center"/>
            <w:tcMar>
              <w:top w:w="50" w:type="dxa"/>
              <w:start w:w="50" w:type="dxa"/>
              <w:bottom w:w="50" w:type="dxa"/>
              <w:end w:w="50" w:type="dxa"/>
            </w:tcMar>
            <w:shd w:fill="F7F9FB"/>
          </w:tcPr>
          <w:p>
            <w:r>
              <w:rPr>
                <w:rFonts w:ascii="Aptos" w:hAnsi="Aptos"/>
                <w:sz w:val="13"/>
              </w:rPr>
              <w:t>Goblis Foundation and Finance/Grants Manager; Afribiz Consultancy Limited as a separate onboarding partner</w:t>
            </w:r>
          </w:p>
        </w:tc>
        <w:tc>
          <w:tcPr>
            <w:tcW w:type="dxa" w:w="1920240"/>
            <w:vAlign w:val="center"/>
            <w:tcMar>
              <w:top w:w="50" w:type="dxa"/>
              <w:start w:w="50" w:type="dxa"/>
              <w:bottom w:w="50" w:type="dxa"/>
              <w:end w:w="50" w:type="dxa"/>
            </w:tcMar>
            <w:shd w:fill="F7F9FB"/>
          </w:tcPr>
          <w:p>
            <w:r>
              <w:rPr>
                <w:rFonts w:ascii="Aptos" w:hAnsi="Aptos"/>
                <w:sz w:val="13"/>
              </w:rPr>
              <w:t>Training contracts and milestone-based community grants</w:t>
            </w:r>
          </w:p>
        </w:tc>
        <w:tc>
          <w:tcPr>
            <w:tcW w:type="dxa" w:w="2240280"/>
            <w:vAlign w:val="center"/>
            <w:tcMar>
              <w:top w:w="50" w:type="dxa"/>
              <w:start w:w="50" w:type="dxa"/>
              <w:bottom w:w="50" w:type="dxa"/>
              <w:end w:w="50" w:type="dxa"/>
            </w:tcMar>
            <w:shd w:fill="F7F9FB"/>
          </w:tcPr>
          <w:p>
            <w:r>
              <w:rPr>
                <w:rFonts w:ascii="Aptos" w:hAnsi="Aptos"/>
                <w:sz w:val="13"/>
              </w:rPr>
              <w:t>Inclusive enterprises, training and shared-market assets</w:t>
            </w:r>
          </w:p>
        </w:tc>
        <w:tc>
          <w:tcPr>
            <w:tcW w:type="dxa" w:w="2057400"/>
            <w:vAlign w:val="center"/>
            <w:tcMar>
              <w:top w:w="50" w:type="dxa"/>
              <w:start w:w="50" w:type="dxa"/>
              <w:bottom w:w="50" w:type="dxa"/>
              <w:end w:w="50" w:type="dxa"/>
            </w:tcMar>
            <w:shd w:fill="F7F9FB"/>
          </w:tcPr>
          <w:p>
            <w:r>
              <w:rPr>
                <w:rFonts w:ascii="Aptos" w:hAnsi="Aptos"/>
                <w:sz w:val="13"/>
              </w:rPr>
              <w:t>Public criteria, due diligence, grant agreements and milestone verification</w:t>
            </w:r>
          </w:p>
        </w:tc>
      </w:tr>
      <w:tr>
        <w:trPr>
          <w:cantSplit/>
          <w:cantSplit/>
        </w:trPr>
        <w:tc>
          <w:tcPr>
            <w:tcW w:type="dxa" w:w="502920"/>
            <w:vAlign w:val="center"/>
            <w:tcMar>
              <w:top w:w="50" w:type="dxa"/>
              <w:start w:w="50" w:type="dxa"/>
              <w:bottom w:w="50" w:type="dxa"/>
              <w:end w:w="50" w:type="dxa"/>
            </w:tcMar>
          </w:tcPr>
          <w:p>
            <w:r>
              <w:rPr>
                <w:rFonts w:ascii="Aptos" w:hAnsi="Aptos"/>
                <w:sz w:val="13"/>
              </w:rPr>
              <w:t>9</w:t>
            </w:r>
          </w:p>
        </w:tc>
        <w:tc>
          <w:tcPr>
            <w:tcW w:type="dxa" w:w="2331720"/>
            <w:vAlign w:val="center"/>
            <w:tcMar>
              <w:top w:w="50" w:type="dxa"/>
              <w:start w:w="50" w:type="dxa"/>
              <w:bottom w:w="50" w:type="dxa"/>
              <w:end w:w="50" w:type="dxa"/>
            </w:tcMar>
          </w:tcPr>
          <w:p>
            <w:r>
              <w:rPr>
                <w:rFonts w:ascii="Aptos" w:hAnsi="Aptos"/>
                <w:sz w:val="13"/>
              </w:rPr>
              <w:t>M&amp;E and Learning Manager / PMU</w:t>
            </w:r>
          </w:p>
        </w:tc>
        <w:tc>
          <w:tcPr>
            <w:tcW w:type="dxa" w:w="1920240"/>
            <w:vAlign w:val="center"/>
            <w:tcMar>
              <w:top w:w="50" w:type="dxa"/>
              <w:start w:w="50" w:type="dxa"/>
              <w:bottom w:w="50" w:type="dxa"/>
              <w:end w:w="50" w:type="dxa"/>
            </w:tcMar>
          </w:tcPr>
          <w:p>
            <w:r>
              <w:rPr>
                <w:rFonts w:ascii="Aptos" w:hAnsi="Aptos"/>
                <w:sz w:val="13"/>
              </w:rPr>
              <w:t>Studies, forums and verification services</w:t>
            </w:r>
          </w:p>
        </w:tc>
        <w:tc>
          <w:tcPr>
            <w:tcW w:type="dxa" w:w="2240280"/>
            <w:vAlign w:val="center"/>
            <w:tcMar>
              <w:top w:w="50" w:type="dxa"/>
              <w:start w:w="50" w:type="dxa"/>
              <w:bottom w:w="50" w:type="dxa"/>
              <w:end w:w="50" w:type="dxa"/>
            </w:tcMar>
          </w:tcPr>
          <w:p>
            <w:r>
              <w:rPr>
                <w:rFonts w:ascii="Aptos" w:hAnsi="Aptos"/>
                <w:sz w:val="13"/>
              </w:rPr>
              <w:t>Performance evidence, learning and replication package</w:t>
            </w:r>
          </w:p>
        </w:tc>
        <w:tc>
          <w:tcPr>
            <w:tcW w:type="dxa" w:w="2057400"/>
            <w:vAlign w:val="center"/>
            <w:tcMar>
              <w:top w:w="50" w:type="dxa"/>
              <w:start w:w="50" w:type="dxa"/>
              <w:bottom w:w="50" w:type="dxa"/>
              <w:end w:w="50" w:type="dxa"/>
            </w:tcMar>
          </w:tcPr>
          <w:p>
            <w:r>
              <w:rPr>
                <w:rFonts w:ascii="Aptos" w:hAnsi="Aptos"/>
                <w:sz w:val="13"/>
              </w:rPr>
              <w:t>Independent verification, data-quality audits and approved reports</w:t>
            </w:r>
          </w:p>
        </w:tc>
      </w:tr>
      <w:tr>
        <w:trPr>
          <w:cantSplit/>
          <w:cantSplit/>
        </w:trPr>
        <w:tc>
          <w:tcPr>
            <w:tcW w:type="dxa" w:w="502920"/>
            <w:vAlign w:val="center"/>
            <w:tcMar>
              <w:top w:w="50" w:type="dxa"/>
              <w:start w:w="50" w:type="dxa"/>
              <w:bottom w:w="50" w:type="dxa"/>
              <w:end w:w="50" w:type="dxa"/>
            </w:tcMar>
            <w:shd w:fill="F7F9FB"/>
          </w:tcPr>
          <w:p>
            <w:r>
              <w:rPr>
                <w:rFonts w:ascii="Aptos" w:hAnsi="Aptos"/>
                <w:sz w:val="13"/>
              </w:rPr>
              <w:t>10</w:t>
            </w:r>
          </w:p>
        </w:tc>
        <w:tc>
          <w:tcPr>
            <w:tcW w:type="dxa" w:w="2331720"/>
            <w:vAlign w:val="center"/>
            <w:tcMar>
              <w:top w:w="50" w:type="dxa"/>
              <w:start w:w="50" w:type="dxa"/>
              <w:bottom w:w="50" w:type="dxa"/>
              <w:end w:w="50" w:type="dxa"/>
            </w:tcMar>
            <w:shd w:fill="F7F9FB"/>
          </w:tcPr>
          <w:p>
            <w:r>
              <w:rPr>
                <w:rFonts w:ascii="Aptos" w:hAnsi="Aptos"/>
                <w:sz w:val="13"/>
              </w:rPr>
              <w:t>Labl Group East Africa as lead applicant</w:t>
            </w:r>
          </w:p>
        </w:tc>
        <w:tc>
          <w:tcPr>
            <w:tcW w:type="dxa" w:w="1920240"/>
            <w:vAlign w:val="center"/>
            <w:tcMar>
              <w:top w:w="50" w:type="dxa"/>
              <w:start w:w="50" w:type="dxa"/>
              <w:bottom w:w="50" w:type="dxa"/>
              <w:end w:w="50" w:type="dxa"/>
            </w:tcMar>
            <w:shd w:fill="F7F9FB"/>
          </w:tcPr>
          <w:p>
            <w:r>
              <w:rPr>
                <w:rFonts w:ascii="Aptos" w:hAnsi="Aptos"/>
                <w:sz w:val="13"/>
              </w:rPr>
              <w:t>Approved personnel, operating costs and competitive audit services</w:t>
            </w:r>
          </w:p>
        </w:tc>
        <w:tc>
          <w:tcPr>
            <w:tcW w:type="dxa" w:w="2240280"/>
            <w:vAlign w:val="center"/>
            <w:tcMar>
              <w:top w:w="50" w:type="dxa"/>
              <w:start w:w="50" w:type="dxa"/>
              <w:bottom w:w="50" w:type="dxa"/>
              <w:end w:w="50" w:type="dxa"/>
            </w:tcMar>
            <w:shd w:fill="F7F9FB"/>
          </w:tcPr>
          <w:p>
            <w:r>
              <w:rPr>
                <w:rFonts w:ascii="Aptos" w:hAnsi="Aptos"/>
                <w:sz w:val="13"/>
              </w:rPr>
              <w:t>Compliant programme coordination and financial reporting</w:t>
            </w:r>
          </w:p>
        </w:tc>
        <w:tc>
          <w:tcPr>
            <w:tcW w:type="dxa" w:w="2057400"/>
            <w:vAlign w:val="center"/>
            <w:tcMar>
              <w:top w:w="50" w:type="dxa"/>
              <w:start w:w="50" w:type="dxa"/>
              <w:bottom w:w="50" w:type="dxa"/>
              <w:end w:w="50" w:type="dxa"/>
            </w:tcMar>
            <w:shd w:fill="F7F9FB"/>
          </w:tcPr>
          <w:p>
            <w:r>
              <w:rPr>
                <w:rFonts w:ascii="Aptos" w:hAnsi="Aptos"/>
                <w:sz w:val="13"/>
              </w:rPr>
              <w:t>Cost centre, dual approval, reconciliations, audit and overhead ceiling</w:t>
            </w:r>
          </w:p>
        </w:tc>
      </w:tr>
    </w:tbl>
    <w:p/>
    <w:p>
      <w:pPr>
        <w:pStyle w:val="Heading2"/>
      </w:pPr>
      <w:r>
        <w:t>Annex 6D. Indicative Consortium and Public-Partner Contributions</w:t>
      </w:r>
    </w:p>
    <w:p>
      <w:r>
        <w:t>The following contributions are additional to the requested grant and will be valued, verified and documented before contracting. They are not included in the KES 138,000,000 grant total.</w:t>
      </w:r>
    </w:p>
    <w:tbl>
      <w:tblPr>
        <w:tblStyle w:val="TableGrid"/>
        <w:tblW w:type="auto" w:w="0"/>
        <w:jc w:val="center"/>
        <w:tblLayout w:type="fixed"/>
        <w:tblLook w:firstColumn="1" w:firstRow="1" w:lastColumn="0" w:lastRow="0" w:noHBand="0" w:noVBand="1" w:val="04A0"/>
      </w:tblPr>
      <w:tblGrid>
        <w:gridCol w:w="4848"/>
        <w:gridCol w:w="4848"/>
        <w:gridCol w:w="4848"/>
      </w:tblGrid>
      <w:tr>
        <w:trPr>
          <w:tblHeader w:val="true"/>
        </w:trPr>
        <w:tc>
          <w:tcPr>
            <w:tcW w:type="dxa" w:w="2103120"/>
            <w:vAlign w:val="center"/>
            <w:tcMar>
              <w:top w:w="45" w:type="dxa"/>
              <w:start w:w="55" w:type="dxa"/>
              <w:bottom w:w="45" w:type="dxa"/>
              <w:end w:w="55" w:type="dxa"/>
            </w:tcMar>
            <w:shd w:fill="1F4E78"/>
          </w:tcPr>
          <w:p>
            <w:r>
              <w:t>Contributor</w:t>
            </w:r>
          </w:p>
        </w:tc>
        <w:tc>
          <w:tcPr>
            <w:tcW w:type="dxa" w:w="6035040"/>
            <w:vAlign w:val="center"/>
            <w:tcMar>
              <w:top w:w="45" w:type="dxa"/>
              <w:start w:w="55" w:type="dxa"/>
              <w:bottom w:w="45" w:type="dxa"/>
              <w:end w:w="55" w:type="dxa"/>
            </w:tcMar>
            <w:shd w:fill="1F4E78"/>
          </w:tcPr>
          <w:p>
            <w:r>
              <w:t>Indicative contribution</w:t>
            </w:r>
          </w:p>
        </w:tc>
        <w:tc>
          <w:tcPr>
            <w:tcW w:type="dxa" w:w="1143000"/>
            <w:vAlign w:val="center"/>
            <w:tcMar>
              <w:top w:w="45" w:type="dxa"/>
              <w:start w:w="55" w:type="dxa"/>
              <w:bottom w:w="45" w:type="dxa"/>
              <w:end w:w="55" w:type="dxa"/>
            </w:tcMar>
            <w:shd w:fill="1F4E78"/>
          </w:tcPr>
          <w:p>
            <w:r>
              <w:t>Value KES</w:t>
            </w:r>
          </w:p>
        </w:tc>
      </w:tr>
      <w:tr>
        <w:trPr>
          <w:cantSplit/>
        </w:trPr>
        <w:tc>
          <w:tcPr>
            <w:tcW w:type="dxa" w:w="2103120"/>
            <w:vAlign w:val="center"/>
            <w:tcMar>
              <w:top w:w="45" w:type="dxa"/>
              <w:start w:w="55" w:type="dxa"/>
              <w:bottom w:w="45" w:type="dxa"/>
              <w:end w:w="55" w:type="dxa"/>
            </w:tcMar>
          </w:tcPr>
          <w:p>
            <w:r>
              <w:t>Labl Group East Africa / Labl Fashion B.V.</w:t>
            </w:r>
          </w:p>
        </w:tc>
        <w:tc>
          <w:tcPr>
            <w:tcW w:type="dxa" w:w="6035040"/>
            <w:vAlign w:val="center"/>
            <w:tcMar>
              <w:top w:w="45" w:type="dxa"/>
              <w:start w:w="55" w:type="dxa"/>
              <w:bottom w:w="45" w:type="dxa"/>
              <w:end w:w="55" w:type="dxa"/>
            </w:tcMar>
          </w:tcPr>
          <w:p>
            <w:r>
              <w:t>Sagalla land and facility use, production equipment, technical staff time, product development and Netherlands/wider EU market access</w:t>
            </w:r>
          </w:p>
        </w:tc>
        <w:tc>
          <w:tcPr>
            <w:tcW w:type="dxa" w:w="1143000"/>
            <w:vAlign w:val="center"/>
            <w:tcMar>
              <w:top w:w="45" w:type="dxa"/>
              <w:start w:w="55" w:type="dxa"/>
              <w:bottom w:w="45" w:type="dxa"/>
              <w:end w:w="55" w:type="dxa"/>
            </w:tcMar>
          </w:tcPr>
          <w:p>
            <w:r>
              <w:t>10,000,000</w:t>
            </w:r>
          </w:p>
        </w:tc>
      </w:tr>
      <w:tr>
        <w:trPr>
          <w:cantSplit/>
        </w:trPr>
        <w:tc>
          <w:tcPr>
            <w:tcW w:type="dxa" w:w="2103120"/>
            <w:vAlign w:val="center"/>
            <w:tcMar>
              <w:top w:w="45" w:type="dxa"/>
              <w:start w:w="55" w:type="dxa"/>
              <w:bottom w:w="45" w:type="dxa"/>
              <w:end w:w="55" w:type="dxa"/>
            </w:tcMar>
          </w:tcPr>
          <w:p>
            <w:r>
              <w:t>Crostar Energy Ltd</w:t>
            </w:r>
          </w:p>
        </w:tc>
        <w:tc>
          <w:tcPr>
            <w:tcW w:type="dxa" w:w="6035040"/>
            <w:vAlign w:val="center"/>
            <w:tcMar>
              <w:top w:w="45" w:type="dxa"/>
              <w:start w:w="55" w:type="dxa"/>
              <w:bottom w:w="45" w:type="dxa"/>
              <w:end w:w="55" w:type="dxa"/>
            </w:tcMar>
          </w:tcPr>
          <w:p>
            <w:r>
              <w:t>Mavueni pilot-facility use, technical staff time, feedstock and processing know-how and market-development resources</w:t>
            </w:r>
          </w:p>
        </w:tc>
        <w:tc>
          <w:tcPr>
            <w:tcW w:type="dxa" w:w="1143000"/>
            <w:vAlign w:val="center"/>
            <w:tcMar>
              <w:top w:w="45" w:type="dxa"/>
              <w:start w:w="55" w:type="dxa"/>
              <w:bottom w:w="45" w:type="dxa"/>
              <w:end w:w="55" w:type="dxa"/>
            </w:tcMar>
          </w:tcPr>
          <w:p>
            <w:r>
              <w:t>6,000,000</w:t>
            </w:r>
          </w:p>
        </w:tc>
      </w:tr>
      <w:tr>
        <w:trPr>
          <w:cantSplit/>
        </w:trPr>
        <w:tc>
          <w:tcPr>
            <w:tcW w:type="dxa" w:w="2103120"/>
            <w:vAlign w:val="center"/>
            <w:tcMar>
              <w:top w:w="45" w:type="dxa"/>
              <w:start w:w="55" w:type="dxa"/>
              <w:bottom w:w="45" w:type="dxa"/>
              <w:end w:w="55" w:type="dxa"/>
            </w:tcMar>
          </w:tcPr>
          <w:p>
            <w:r>
              <w:t>Goblis Foundation</w:t>
            </w:r>
          </w:p>
        </w:tc>
        <w:tc>
          <w:tcPr>
            <w:tcW w:type="dxa" w:w="6035040"/>
            <w:vAlign w:val="center"/>
            <w:tcMar>
              <w:top w:w="45" w:type="dxa"/>
              <w:start w:w="55" w:type="dxa"/>
              <w:bottom w:w="45" w:type="dxa"/>
              <w:end w:w="55" w:type="dxa"/>
            </w:tcMar>
          </w:tcPr>
          <w:p>
            <w:r>
              <w:t>Community networks, training resources, safeguarding structures and grant-administration support</w:t>
            </w:r>
          </w:p>
        </w:tc>
        <w:tc>
          <w:tcPr>
            <w:tcW w:type="dxa" w:w="1143000"/>
            <w:vAlign w:val="center"/>
            <w:tcMar>
              <w:top w:w="45" w:type="dxa"/>
              <w:start w:w="55" w:type="dxa"/>
              <w:bottom w:w="45" w:type="dxa"/>
              <w:end w:w="55" w:type="dxa"/>
            </w:tcMar>
          </w:tcPr>
          <w:p>
            <w:r>
              <w:t>2,000,000</w:t>
            </w:r>
          </w:p>
        </w:tc>
      </w:tr>
      <w:tr>
        <w:trPr>
          <w:cantSplit/>
        </w:trPr>
        <w:tc>
          <w:tcPr>
            <w:tcW w:type="dxa" w:w="2103120"/>
            <w:vAlign w:val="center"/>
            <w:tcMar>
              <w:top w:w="45" w:type="dxa"/>
              <w:start w:w="55" w:type="dxa"/>
              <w:bottom w:w="45" w:type="dxa"/>
              <w:end w:w="55" w:type="dxa"/>
            </w:tcMar>
          </w:tcPr>
          <w:p>
            <w:r>
              <w:t>County Governments of Taita Taveta and Kilifi</w:t>
            </w:r>
          </w:p>
        </w:tc>
        <w:tc>
          <w:tcPr>
            <w:tcW w:type="dxa" w:w="6035040"/>
            <w:vAlign w:val="center"/>
            <w:tcMar>
              <w:top w:w="45" w:type="dxa"/>
              <w:start w:w="55" w:type="dxa"/>
              <w:bottom w:w="45" w:type="dxa"/>
              <w:end w:w="55" w:type="dxa"/>
            </w:tcMar>
          </w:tcPr>
          <w:p>
            <w:r>
              <w:t>Extension personnel, venues, mobilisation, local coordination and selected field logistics</w:t>
            </w:r>
          </w:p>
        </w:tc>
        <w:tc>
          <w:tcPr>
            <w:tcW w:type="dxa" w:w="1143000"/>
            <w:vAlign w:val="center"/>
            <w:tcMar>
              <w:top w:w="45" w:type="dxa"/>
              <w:start w:w="55" w:type="dxa"/>
              <w:bottom w:w="45" w:type="dxa"/>
              <w:end w:w="55" w:type="dxa"/>
            </w:tcMar>
          </w:tcPr>
          <w:p>
            <w:r>
              <w:t>3,000,000</w:t>
            </w:r>
          </w:p>
        </w:tc>
      </w:tr>
      <w:tr>
        <w:trPr>
          <w:cantSplit/>
        </w:trPr>
        <w:tc>
          <w:tcPr>
            <w:tcW w:type="dxa" w:w="2103120"/>
            <w:vAlign w:val="center"/>
            <w:tcMar>
              <w:top w:w="45" w:type="dxa"/>
              <w:start w:w="55" w:type="dxa"/>
              <w:bottom w:w="45" w:type="dxa"/>
              <w:end w:w="55" w:type="dxa"/>
            </w:tcMar>
          </w:tcPr>
          <w:p>
            <w:r>
              <w:t>National ministries and statutory institutions</w:t>
            </w:r>
          </w:p>
        </w:tc>
        <w:tc>
          <w:tcPr>
            <w:tcW w:type="dxa" w:w="6035040"/>
            <w:vAlign w:val="center"/>
            <w:tcMar>
              <w:top w:w="45" w:type="dxa"/>
              <w:start w:w="55" w:type="dxa"/>
              <w:bottom w:w="45" w:type="dxa"/>
              <w:end w:w="55" w:type="dxa"/>
            </w:tcMar>
          </w:tcPr>
          <w:p>
            <w:r>
              <w:t>Technical guidance, regulatory coordination, review time and participation in learning and replication</w:t>
            </w:r>
          </w:p>
        </w:tc>
        <w:tc>
          <w:tcPr>
            <w:tcW w:type="dxa" w:w="1143000"/>
            <w:vAlign w:val="center"/>
            <w:tcMar>
              <w:top w:w="45" w:type="dxa"/>
              <w:start w:w="55" w:type="dxa"/>
              <w:bottom w:w="45" w:type="dxa"/>
              <w:end w:w="55" w:type="dxa"/>
            </w:tcMar>
          </w:tcPr>
          <w:p>
            <w:r>
              <w:t>2,000,000</w:t>
            </w:r>
          </w:p>
        </w:tc>
      </w:tr>
      <w:tr>
        <w:tc>
          <w:tcPr>
            <w:tcW w:type="dxa" w:w="9696"/>
            <w:gridSpan w:val="2"/>
            <w:vAlign w:val="center"/>
            <w:tcMar>
              <w:top w:w="45" w:type="dxa"/>
              <w:start w:w="55" w:type="dxa"/>
              <w:bottom w:w="45" w:type="dxa"/>
              <w:end w:w="55" w:type="dxa"/>
            </w:tcMar>
            <w:shd w:fill="D9EAF7"/>
          </w:tcPr>
          <w:p>
            <w:r>
              <w:t>TOTAL INDICATIVE CO-FINANCING / IN-KIND CONTRIBUTION</w:t>
            </w:r>
          </w:p>
        </w:tc>
        <w:tc>
          <w:tcPr>
            <w:tcW w:type="dxa" w:w="4848"/>
            <w:vAlign w:val="center"/>
            <w:tcMar>
              <w:top w:w="45" w:type="dxa"/>
              <w:start w:w="55" w:type="dxa"/>
              <w:bottom w:w="45" w:type="dxa"/>
              <w:end w:w="55" w:type="dxa"/>
            </w:tcMar>
            <w:shd w:fill="D9EAF7"/>
          </w:tcPr>
          <w:p>
            <w:r>
              <w:t>23,000,000</w:t>
            </w:r>
          </w:p>
        </w:tc>
      </w:tr>
    </w:tbl>
    <w:p>
      <w:pPr>
        <w:sectPr>
          <w:pgSz w:w="15840" w:h="12240" w:orient="landscape"/>
          <w:pgMar w:top="648" w:right="648" w:bottom="648" w:left="648" w:header="720" w:footer="720" w:gutter="0"/>
          <w:cols w:space="720"/>
          <w:docGrid w:linePitch="360"/>
        </w:sectPr>
      </w:pPr>
    </w:p>
    <w:p>
      <w:pPr>
        <w:pStyle w:val="Heading1"/>
      </w:pPr>
      <w:r>
        <w:t>Annex 7. Information and Evidence Notes</w:t>
      </w:r>
    </w:p>
    <w:p>
      <w:r>
        <w:t>These notes restore the principal evidence and programme information contained in the concept note and provide a verification trail for the full proposal. Before contracting, the lead applicant will retain copies of the cited documents and reconfirm time-sensitive statistics, institutional names and programme status.</w:t>
      </w:r>
    </w:p>
    <w:tbl>
      <w:tblPr>
        <w:tblStyle w:val="TableGrid"/>
        <w:tblW w:type="dxa" w:w="9792"/>
        <w:jc w:val="center"/>
        <w:tblLayout w:type="fixed"/>
        <w:tblLook w:firstColumn="1" w:firstRow="1" w:lastColumn="0" w:lastRow="0" w:noHBand="0" w:noVBand="1" w:val="04A0"/>
        <w:tblInd w:w="0" w:type="dxa"/>
      </w:tblPr>
      <w:tblGrid>
        <w:gridCol w:w="792"/>
        <w:gridCol w:w="3888"/>
        <w:gridCol w:w="5112"/>
      </w:tblGrid>
      <w:tr>
        <w:trPr>
          <w:tblHeader w:val="true"/>
        </w:trPr>
        <w:tc>
          <w:tcPr>
            <w:tcW w:type="dxa" w:w="792"/>
            <w:vAlign w:val="center"/>
            <w:tcMar>
              <w:top w:w="65" w:type="dxa"/>
              <w:start w:w="70" w:type="dxa"/>
              <w:bottom w:w="65" w:type="dxa"/>
              <w:end w:w="70" w:type="dxa"/>
            </w:tcMar>
            <w:shd w:fill="1F4E78"/>
          </w:tcPr>
          <w:p>
            <w:pPr>
              <w:spacing w:before="0" w:after="0" w:line="240" w:lineRule="auto"/>
              <w:jc w:val="center"/>
            </w:pPr>
            <w:r/>
            <w:r>
              <w:rPr>
                <w:rFonts w:ascii="Arial" w:hAnsi="Arial"/>
                <w:b/>
                <w:color w:val="FFFFFF"/>
                <w:sz w:val="16"/>
              </w:rPr>
              <w:t>Note</w:t>
            </w:r>
          </w:p>
        </w:tc>
        <w:tc>
          <w:tcPr>
            <w:tcW w:type="dxa" w:w="3888"/>
            <w:vAlign w:val="center"/>
            <w:tcMar>
              <w:top w:w="65" w:type="dxa"/>
              <w:start w:w="70" w:type="dxa"/>
              <w:bottom w:w="65" w:type="dxa"/>
              <w:end w:w="70" w:type="dxa"/>
            </w:tcMar>
            <w:shd w:fill="1F4E78"/>
          </w:tcPr>
          <w:p>
            <w:pPr>
              <w:spacing w:before="0" w:after="0" w:line="240" w:lineRule="auto"/>
              <w:jc w:val="center"/>
            </w:pPr>
            <w:r/>
            <w:r>
              <w:rPr>
                <w:rFonts w:ascii="Arial" w:hAnsi="Arial"/>
                <w:b/>
                <w:color w:val="FFFFFF"/>
                <w:sz w:val="16"/>
              </w:rPr>
              <w:t>Official or primary source</w:t>
            </w:r>
          </w:p>
        </w:tc>
        <w:tc>
          <w:tcPr>
            <w:tcW w:type="dxa" w:w="5112"/>
            <w:vAlign w:val="center"/>
            <w:tcMar>
              <w:top w:w="65" w:type="dxa"/>
              <w:start w:w="70" w:type="dxa"/>
              <w:bottom w:w="65" w:type="dxa"/>
              <w:end w:w="70" w:type="dxa"/>
            </w:tcMar>
            <w:shd w:fill="1F4E78"/>
          </w:tcPr>
          <w:p>
            <w:pPr>
              <w:spacing w:before="0" w:after="0" w:line="240" w:lineRule="auto"/>
              <w:jc w:val="center"/>
            </w:pPr>
            <w:r/>
            <w:r>
              <w:rPr>
                <w:rFonts w:ascii="Arial" w:hAnsi="Arial"/>
                <w:b/>
                <w:color w:val="FFFFFF"/>
                <w:sz w:val="16"/>
              </w:rPr>
              <w:t>Information used in the proposal</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IN-1</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Government of Kenya, National Cotton, Textile and Apparel Policy, 2024 (draft), State Department for Industry.</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Historical farmer participation, manufacturing employment, acreage, bale production, operating textile mills, value-chain decline and the policy emphasis on farm-to-fashion integration and market diversification.</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IN-2</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Agriculture and Food Authority, Fibre Crops Yearbook of Statistics cited in the concept note (2024 production data).</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Taita Taveta and Kilifi acreage and seed-cotton output, national share, and the list of 21 counties reporting cotton production. Figures will be reconfirmed against the final AFA publication before contracting.</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IN-3</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State Department for Industry, Current Statement/Status of the Cotton, Textile and Apparel Sector.</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Number and composition of medium, large, micro and small textile and apparel enterprises and the opportunity for local industrial linkages.</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IN-4</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Government of Kenya and Agriculture and Food Authority information on approval and rollout of commercial Bt cotton.</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Demonstration farms, seed distribution and farmer training under the national cotton-revival effort; used to define non-duplication and complementarity.</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IN-5</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Government Advertising Agency/MyGov information on new cotton ginneries in Kwale and Lamu.</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Existing coastal processing capacity and expected benefits for farmers in Kwale, Kilifi, Lamu and Taita Taveta.</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IN-6</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Safaricom, official DigiFarm service information and sustainability reporting.</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Digital farmer profiles, agronomic advice, inputs, finance, market linkages and transaction support; used to distinguish a broad farmer-services platform from AfriEuro Links buyer-specific traceability.</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IN-7</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County Government of Kilifi planning documents and County Government of Taita Taveta agriculture/extension mandate.</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Cooperative mobilisation, input and extension support, demonstration functions and county institutional contributions.</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IN-8</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Government of Kenya/Presidency information cited in the concept note on documented castor activity.</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Initial renewable-oilseed replication consideration for Baringo, Makueni, Nakuru and Mombasa, together with Kilifi, subject to full suitability and regulatory assessment.</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IN-9</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Invest International and FMO official financing and sector information.</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Potential, non-guaranteed pathways for Dutch-linked international expansion, project development and investment in agribusiness, energy and private-sector growth.</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IN-10</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Ministry of Agriculture and Livestock Development official mandate and State Department for Agriculture information.</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Crop development, extension, food and nutrition security, farmer support, data, innovation and coordination with AFA, KEPHIS and KALRO.</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IN-11</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Ministry of Energy and Petroleum official functions; EPRA biofuel and petroleum regulatory instruments.</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Policy coordination, renewable-energy alignment, technical standards and the requirement for independent statutory approvals for regulated activities.</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IN-12</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National Environment Management Authority official EIA and environmental licensing guidance.</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Environmental screening, EIA licensing where applicable, mitigation, monitoring, waste and effluent controls and environmental audits.</w:t>
            </w:r>
          </w:p>
        </w:tc>
      </w:tr>
      <w:tr>
        <w:trPr>
          <w:cantSplit/>
        </w:trPr>
        <w:tc>
          <w:tcPr>
            <w:tcW w:type="dxa" w:w="792"/>
            <w:vAlign w:val="center"/>
            <w:tcMar>
              <w:top w:w="65" w:type="dxa"/>
              <w:start w:w="70" w:type="dxa"/>
              <w:bottom w:w="65" w:type="dxa"/>
              <w:end w:w="70" w:type="dxa"/>
            </w:tcMar>
          </w:tcPr>
          <w:p>
            <w:pPr>
              <w:spacing w:before="0" w:after="0" w:line="240" w:lineRule="auto"/>
              <w:jc w:val="center"/>
            </w:pPr>
            <w:r/>
            <w:r>
              <w:rPr>
                <w:rFonts w:ascii="Arial" w:hAnsi="Arial"/>
                <w:b w:val="0"/>
                <w:sz w:val="15"/>
              </w:rPr>
              <w:t>IN-13</w:t>
            </w:r>
          </w:p>
        </w:tc>
        <w:tc>
          <w:tcPr>
            <w:tcW w:type="dxa" w:w="3888"/>
            <w:vAlign w:val="center"/>
            <w:tcMar>
              <w:top w:w="65" w:type="dxa"/>
              <w:start w:w="70" w:type="dxa"/>
              <w:bottom w:w="65" w:type="dxa"/>
              <w:end w:w="70" w:type="dxa"/>
            </w:tcMar>
          </w:tcPr>
          <w:p>
            <w:pPr>
              <w:spacing w:before="0" w:after="0" w:line="240" w:lineRule="auto"/>
              <w:jc w:val="left"/>
            </w:pPr>
            <w:r/>
            <w:r>
              <w:rPr>
                <w:rFonts w:ascii="Arial" w:hAnsi="Arial"/>
                <w:b w:val="0"/>
                <w:sz w:val="15"/>
              </w:rPr>
              <w:t>Labl Group East Africa Strategic Plan and Crostar Energy Business Plan.</w:t>
            </w:r>
          </w:p>
        </w:tc>
        <w:tc>
          <w:tcPr>
            <w:tcW w:type="dxa" w:w="5112"/>
            <w:vAlign w:val="center"/>
            <w:tcMar>
              <w:top w:w="65" w:type="dxa"/>
              <w:start w:w="70" w:type="dxa"/>
              <w:bottom w:w="65" w:type="dxa"/>
              <w:end w:w="70" w:type="dxa"/>
            </w:tcMar>
          </w:tcPr>
          <w:p>
            <w:pPr>
              <w:spacing w:before="0" w:after="0" w:line="240" w:lineRule="auto"/>
              <w:jc w:val="left"/>
            </w:pPr>
            <w:r/>
            <w:r>
              <w:rPr>
                <w:rFonts w:ascii="Arial" w:hAnsi="Arial"/>
                <w:b w:val="0"/>
                <w:sz w:val="15"/>
              </w:rPr>
              <w:t>Sagalla production facility and pilot; cotton-to-fashion and traceability strategy; Mavueni renewable-oil/biodiesel pathway; smallholder partnerships; feedstock diversification and operating assumptions.</w:t>
            </w:r>
          </w:p>
        </w:tc>
      </w:tr>
    </w:tbl>
    <w:p>
      <w:r>
        <w:br w:type="page"/>
      </w:r>
    </w:p>
    <w:p>
      <w:pPr>
        <w:pStyle w:val="Heading1"/>
      </w:pPr>
      <w:r>
        <w:t>Annex 8. Due Diligence and Conditions Precedent Checklist</w:t>
      </w:r>
    </w:p>
    <w:p>
      <w:r>
        <w:t>The following evidence will be completed, verified and retained before grant contracting or before the relevant activity is authorised. The checklist consolidates the concept note's required evidence and the full proposal's assumptions and conditions precedent.</w:t>
      </w:r>
    </w:p>
    <w:tbl>
      <w:tblPr>
        <w:tblStyle w:val="TableGrid"/>
        <w:tblW w:type="dxa" w:w="9792"/>
        <w:jc w:val="center"/>
        <w:tblLayout w:type="fixed"/>
        <w:tblLook w:firstColumn="1" w:firstRow="1" w:lastColumn="0" w:lastRow="0" w:noHBand="0" w:noVBand="1" w:val="04A0"/>
        <w:tblInd w:w="0" w:type="dxa"/>
      </w:tblPr>
      <w:tblGrid>
        <w:gridCol w:w="648"/>
        <w:gridCol w:w="3096"/>
        <w:gridCol w:w="6048"/>
      </w:tblGrid>
      <w:tr>
        <w:trPr>
          <w:tblHeader w:val="true"/>
        </w:trPr>
        <w:tc>
          <w:tcPr>
            <w:tcW w:type="dxa" w:w="648"/>
            <w:vAlign w:val="center"/>
            <w:tcMar>
              <w:top w:w="65" w:type="dxa"/>
              <w:start w:w="70" w:type="dxa"/>
              <w:bottom w:w="65" w:type="dxa"/>
              <w:end w:w="70" w:type="dxa"/>
            </w:tcMar>
            <w:shd w:fill="1F4E78"/>
          </w:tcPr>
          <w:p>
            <w:pPr>
              <w:spacing w:before="0" w:after="0" w:line="240" w:lineRule="auto"/>
              <w:jc w:val="center"/>
            </w:pPr>
            <w:r/>
            <w:r>
              <w:rPr>
                <w:rFonts w:ascii="Arial" w:hAnsi="Arial"/>
                <w:b/>
                <w:color w:val="FFFFFF"/>
                <w:sz w:val="16"/>
              </w:rPr>
              <w:t>No.</w:t>
            </w:r>
          </w:p>
        </w:tc>
        <w:tc>
          <w:tcPr>
            <w:tcW w:type="dxa" w:w="3096"/>
            <w:vAlign w:val="center"/>
            <w:tcMar>
              <w:top w:w="65" w:type="dxa"/>
              <w:start w:w="70" w:type="dxa"/>
              <w:bottom w:w="65" w:type="dxa"/>
              <w:end w:w="70" w:type="dxa"/>
            </w:tcMar>
            <w:shd w:fill="1F4E78"/>
          </w:tcPr>
          <w:p>
            <w:pPr>
              <w:spacing w:before="0" w:after="0" w:line="240" w:lineRule="auto"/>
              <w:jc w:val="center"/>
            </w:pPr>
            <w:r/>
            <w:r>
              <w:rPr>
                <w:rFonts w:ascii="Arial" w:hAnsi="Arial"/>
                <w:b/>
                <w:color w:val="FFFFFF"/>
                <w:sz w:val="16"/>
              </w:rPr>
              <w:t>Evidence area</w:t>
            </w:r>
          </w:p>
        </w:tc>
        <w:tc>
          <w:tcPr>
            <w:tcW w:type="dxa" w:w="6048"/>
            <w:vAlign w:val="center"/>
            <w:tcMar>
              <w:top w:w="65" w:type="dxa"/>
              <w:start w:w="70" w:type="dxa"/>
              <w:bottom w:w="65" w:type="dxa"/>
              <w:end w:w="70" w:type="dxa"/>
            </w:tcMar>
            <w:shd w:fill="1F4E78"/>
          </w:tcPr>
          <w:p>
            <w:pPr>
              <w:spacing w:before="0" w:after="0" w:line="240" w:lineRule="auto"/>
              <w:jc w:val="center"/>
            </w:pPr>
            <w:r/>
            <w:r>
              <w:rPr>
                <w:rFonts w:ascii="Arial" w:hAnsi="Arial"/>
                <w:b/>
                <w:color w:val="FFFFFF"/>
                <w:sz w:val="16"/>
              </w:rPr>
              <w:t>Required evidence or condition</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1</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Legal identity and ownership</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Certified registration, beneficial ownership and tax documents for each consortium member and named service provider, including evidence of the Labl Fashion B.V.-Labl Group East Africa Ltd relationship.</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2</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Governance authorisation</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Board resolutions, authorised signatories and approvals to enter the consortium, grant and service-provider arrangements.</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3</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Consortium and public-partner commitments</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Signed agreements or letters defining roles, contributions, facilities, data access, intellectual property, decision rights, reporting and escalation procedures.</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4</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Financial capacity and controls</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Audited accounts or acceptable financial statements, internal-control and procurement manuals, bank and cost-centre arrangements, fraud controls and evidence that for-profit entities will charge non-commercial rates.</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5</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Safeguarding and integrity</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Safeguarding, sexual exploitation and abuse, child protection, whistleblowing, conflicts-of-interest, anti-fraud, complaints and data-protection policies.</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6</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Facilities and assets</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Land or lease documentation, county approvals, photographs, equipment schedules, asset ownership/use agreements and pilot records for Sagalla and Mavueni.</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7</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Track record</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Verified comparable assignments, contract or programme values, beneficiary numbers, commercial results, completion evidence and contactable references for lead and implementation partners.</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8</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Market evidence</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Buyer expressions of interest, preliminary specifications, sample requirements, commercial due-diligence plan, indicative volumes and proposed certification pathway.</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9</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Co-financing</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Partner commitment letters, auditable cost schedules and asset or in-kind valuation evidence supporting all stated contributions.</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10</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Agronomic and food-security validation</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Approved planting materials, county crop plans, soil and water evidence, intercropping recommendations, food/feed safeguards and non-displacement of essential food production.</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11</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Environmental and social approvals</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NEMA screening and licences where applicable, ESMPs, community consultation, land-use safeguards, grievance mechanism and environmental monitoring plan.</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12</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Energy and processing approvals</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EPRA, KEBS, county, fire, occupational-safety, water, waste, effluent, storage, transport and other requirements recorded in a responsibility-and-timeline matrix.</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13</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Digital and data governance</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Afrisol contract, requirements, architecture, security testing, data-processing agreements, consent framework, intellectual-property/escrow or ownership arrangement and disaster-recovery plan.</w:t>
            </w:r>
          </w:p>
        </w:tc>
      </w:tr>
      <w:tr>
        <w:trPr>
          <w:cantSplit/>
        </w:trPr>
        <w:tc>
          <w:tcPr>
            <w:tcW w:type="dxa" w:w="648"/>
            <w:vAlign w:val="center"/>
            <w:tcMar>
              <w:top w:w="65" w:type="dxa"/>
              <w:start w:w="70" w:type="dxa"/>
              <w:bottom w:w="65" w:type="dxa"/>
              <w:end w:w="70" w:type="dxa"/>
            </w:tcMar>
          </w:tcPr>
          <w:p>
            <w:pPr>
              <w:spacing w:before="0" w:after="0" w:line="240" w:lineRule="auto"/>
              <w:jc w:val="center"/>
            </w:pPr>
            <w:r/>
            <w:r>
              <w:rPr>
                <w:rFonts w:ascii="Arial" w:hAnsi="Arial"/>
                <w:b w:val="0"/>
                <w:sz w:val="15"/>
              </w:rPr>
              <w:t>14</w:t>
            </w:r>
          </w:p>
        </w:tc>
        <w:tc>
          <w:tcPr>
            <w:tcW w:type="dxa" w:w="3096"/>
            <w:vAlign w:val="center"/>
            <w:tcMar>
              <w:top w:w="65" w:type="dxa"/>
              <w:start w:w="70" w:type="dxa"/>
              <w:bottom w:w="65" w:type="dxa"/>
              <w:end w:w="70" w:type="dxa"/>
            </w:tcMar>
          </w:tcPr>
          <w:p>
            <w:pPr>
              <w:spacing w:before="0" w:after="0" w:line="240" w:lineRule="auto"/>
              <w:jc w:val="left"/>
            </w:pPr>
            <w:r/>
            <w:r>
              <w:rPr>
                <w:rFonts w:ascii="Arial" w:hAnsi="Arial"/>
                <w:b w:val="0"/>
                <w:sz w:val="15"/>
              </w:rPr>
              <w:t>Community registration and grants</w:t>
            </w:r>
          </w:p>
        </w:tc>
        <w:tc>
          <w:tcPr>
            <w:tcW w:type="dxa" w:w="6048"/>
            <w:vAlign w:val="center"/>
            <w:tcMar>
              <w:top w:w="65" w:type="dxa"/>
              <w:start w:w="70" w:type="dxa"/>
              <w:bottom w:w="65" w:type="dxa"/>
              <w:end w:w="70" w:type="dxa"/>
            </w:tcMar>
          </w:tcPr>
          <w:p>
            <w:pPr>
              <w:spacing w:before="0" w:after="0" w:line="240" w:lineRule="auto"/>
              <w:jc w:val="left"/>
            </w:pPr>
            <w:r/>
            <w:r>
              <w:rPr>
                <w:rFonts w:ascii="Arial" w:hAnsi="Arial"/>
                <w:b w:val="0"/>
                <w:sz w:val="15"/>
              </w:rPr>
              <w:t>Afribiz scope, registration protocol, eligibility and duplicate controls, public grant criteria, due diligence, milestone agreements, segregation of duties, procurement controls and independent verification.</w:t>
            </w:r>
          </w:p>
        </w:tc>
      </w:tr>
    </w:tbl>
    <w:p>
      <w:pPr>
        <w:sectPr>
          <w:pgSz w:w="11909" w:h="16834"/>
          <w:pgMar w:top="936" w:right="1008" w:bottom="936" w:left="1008" w:header="720" w:footer="720" w:gutter="0"/>
          <w:cols w:space="720"/>
          <w:docGrid w:linePitch="360"/>
        </w:sectPr>
      </w:pPr>
    </w:p>
    <w:p>
      <w:pPr>
        <w:pStyle w:val="Heading1"/>
      </w:pPr>
      <w:r>
        <w:t>Annex 9. Concept Note-to-Full Proposal Alignment Matrix</w:t>
      </w:r>
    </w:p>
    <w:p>
      <w:r>
        <w:t>This matrix confirms that the full proposal carries forward the important commitments, logic and institutional arrangements approved in the concept note while adding implementation detail, service-provider scopes, governance, safeguards and an itemised budget.</w:t>
      </w:r>
    </w:p>
    <w:tbl>
      <w:tblPr>
        <w:tblStyle w:val="TableGrid"/>
        <w:tblW w:type="dxa" w:w="14400"/>
        <w:tblLayout w:type="fixed"/>
        <w:tblLook w:firstColumn="1" w:firstRow="1" w:lastColumn="0" w:lastRow="0" w:noHBand="0" w:noVBand="1" w:val="04A0"/>
        <w:jc w:val="center"/>
        <w:tblInd w:w="0" w:type="dxa"/>
      </w:tblPr>
      <w:tblGrid>
        <w:gridCol w:w="792"/>
        <w:gridCol w:w="3240"/>
        <w:gridCol w:w="6840"/>
        <w:gridCol w:w="3528"/>
      </w:tblGrid>
      <w:tr>
        <w:trPr>
          <w:tblHeader w:val="true"/>
        </w:trPr>
        <w:tc>
          <w:tcPr>
            <w:tcW w:type="dxa" w:w="792"/>
            <w:vAlign w:val="center"/>
            <w:tcMar>
              <w:top w:w="45" w:type="dxa"/>
              <w:start w:w="45" w:type="dxa"/>
              <w:bottom w:w="45" w:type="dxa"/>
              <w:end w:w="45" w:type="dxa"/>
            </w:tcMar>
            <w:shd w:fill="17375E"/>
          </w:tcPr>
          <w:p>
            <w:pPr>
              <w:spacing w:before="0" w:after="0" w:line="240" w:lineRule="auto"/>
              <w:jc w:val="center"/>
            </w:pPr>
            <w:r>
              <w:rPr>
                <w:rFonts w:ascii="Aptos" w:hAnsi="Aptos"/>
                <w:b/>
                <w:color w:val="FFFFFF"/>
                <w:sz w:val="11"/>
              </w:rPr>
            </w:r>
            <w:r>
              <w:rPr>
                <w:rFonts w:ascii="Aptos" w:hAnsi="Aptos"/>
                <w:b/>
                <w:color w:val="FFFFFF"/>
                <w:sz w:val="11"/>
              </w:rPr>
              <w:t>No.</w:t>
            </w:r>
          </w:p>
        </w:tc>
        <w:tc>
          <w:tcPr>
            <w:tcW w:type="dxa" w:w="3240"/>
            <w:vAlign w:val="center"/>
            <w:tcMar>
              <w:top w:w="45" w:type="dxa"/>
              <w:start w:w="45" w:type="dxa"/>
              <w:bottom w:w="45" w:type="dxa"/>
              <w:end w:w="45" w:type="dxa"/>
            </w:tcMar>
            <w:shd w:fill="17375E"/>
          </w:tcPr>
          <w:p>
            <w:pPr>
              <w:spacing w:before="0" w:after="0" w:line="240" w:lineRule="auto"/>
              <w:jc w:val="center"/>
            </w:pPr>
            <w:r>
              <w:rPr>
                <w:rFonts w:ascii="Aptos" w:hAnsi="Aptos"/>
                <w:b/>
                <w:color w:val="FFFFFF"/>
                <w:sz w:val="11"/>
              </w:rPr>
            </w:r>
            <w:r>
              <w:rPr>
                <w:rFonts w:ascii="Aptos" w:hAnsi="Aptos"/>
                <w:b/>
                <w:color w:val="FFFFFF"/>
                <w:sz w:val="11"/>
              </w:rPr>
              <w:t>Concept-note commitment</w:t>
            </w:r>
          </w:p>
        </w:tc>
        <w:tc>
          <w:tcPr>
            <w:tcW w:type="dxa" w:w="6840"/>
            <w:vAlign w:val="center"/>
            <w:tcMar>
              <w:top w:w="45" w:type="dxa"/>
              <w:start w:w="45" w:type="dxa"/>
              <w:bottom w:w="45" w:type="dxa"/>
              <w:end w:w="45" w:type="dxa"/>
            </w:tcMar>
            <w:shd w:fill="17375E"/>
          </w:tcPr>
          <w:p>
            <w:pPr>
              <w:spacing w:before="0" w:after="0" w:line="240" w:lineRule="auto"/>
              <w:jc w:val="center"/>
            </w:pPr>
            <w:r>
              <w:rPr>
                <w:rFonts w:ascii="Aptos" w:hAnsi="Aptos"/>
                <w:b/>
                <w:color w:val="FFFFFF"/>
                <w:sz w:val="11"/>
              </w:rPr>
            </w:r>
            <w:r>
              <w:rPr>
                <w:rFonts w:ascii="Aptos" w:hAnsi="Aptos"/>
                <w:b/>
                <w:color w:val="FFFFFF"/>
                <w:sz w:val="11"/>
              </w:rPr>
              <w:t>Full-proposal treatment</w:t>
            </w:r>
          </w:p>
        </w:tc>
        <w:tc>
          <w:tcPr>
            <w:tcW w:type="dxa" w:w="3528"/>
            <w:vAlign w:val="center"/>
            <w:tcMar>
              <w:top w:w="45" w:type="dxa"/>
              <w:start w:w="45" w:type="dxa"/>
              <w:bottom w:w="45" w:type="dxa"/>
              <w:end w:w="45" w:type="dxa"/>
            </w:tcMar>
            <w:shd w:fill="17375E"/>
          </w:tcPr>
          <w:p>
            <w:pPr>
              <w:spacing w:before="0" w:after="0" w:line="240" w:lineRule="auto"/>
              <w:jc w:val="center"/>
            </w:pPr>
            <w:r>
              <w:rPr>
                <w:rFonts w:ascii="Aptos" w:hAnsi="Aptos"/>
                <w:b/>
                <w:color w:val="FFFFFF"/>
                <w:sz w:val="11"/>
              </w:rPr>
            </w:r>
            <w:r>
              <w:rPr>
                <w:rFonts w:ascii="Aptos" w:hAnsi="Aptos"/>
                <w:b/>
                <w:color w:val="FFFFFF"/>
                <w:sz w:val="11"/>
              </w:rPr>
              <w:t>Location</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1</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Two anchor market failures</w:t>
            </w:r>
          </w:p>
        </w:tc>
        <w:tc>
          <w:tcPr>
            <w:tcW w:type="dxa" w:w="68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Fragmented value chains/weak SME-buyer linkages and lack of shared standardisation/QA/traceability; export-entry and distribution barriers treated as consequences.</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Executive Summary; Sections 3.2-3.3; Section 5.2.</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2</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Hard sector evidence</w:t>
            </w:r>
          </w:p>
        </w:tc>
        <w:tc>
          <w:tcPr>
            <w:tcW w:type="dxa" w:w="68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Historical 200,000+ farmers, about 30% manufacturing employment, acreage/bale decline, mills, county output and enterprise base.</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Section 3.1 and Annex 7, Notes IN-1 to IN-3.</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3</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Diversified production rationale</w:t>
            </w:r>
          </w:p>
        </w:tc>
        <w:tc>
          <w:tcPr>
            <w:tcW w:type="dxa" w:w="68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Cotton, cottonseed oil, complementary renewable-oil crops, vegetables and fruits to avoid renewed single-crop dependency.</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Sections 3.4, 6.3, 13.1-13.3 and safeguards.</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4</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Aggregation targets</w:t>
            </w:r>
          </w:p>
        </w:tc>
        <w:tc>
          <w:tcPr>
            <w:tcW w:type="dxa" w:w="6840"/>
            <w:vAlign w:val="center"/>
            <w:tcMar>
              <w:top w:w="45" w:type="dxa"/>
              <w:start w:w="45" w:type="dxa"/>
              <w:bottom w:w="45" w:type="dxa"/>
              <w:end w:w="45" w:type="dxa"/>
            </w:tcMar>
            <w:shd w:fill="F7F9FB"/>
          </w:tcPr>
          <w:p>
            <w:r>
              <w:rPr>
                <w:rFonts w:ascii="Aptos" w:hAnsi="Aptos"/>
                <w:sz w:val="11"/>
              </w:rPr>
              <w:t>Conditional pathway to 16,000 active farmers by 2029 and 32,000 in 2030; at least 120 SMEs and 12 structures; transparent governance, unique-person/source reconciliation and payment evidence.</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Executive Summary; Outcomes; Component 2; Results Framework.</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5</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Quality and certification</w:t>
            </w:r>
          </w:p>
        </w:tc>
        <w:tc>
          <w:tcPr>
            <w:tcW w:type="dxa" w:w="6840"/>
            <w:vAlign w:val="center"/>
            <w:tcMar>
              <w:top w:w="45" w:type="dxa"/>
              <w:start w:w="45" w:type="dxa"/>
              <w:bottom w:w="45" w:type="dxa"/>
              <w:end w:w="45" w:type="dxa"/>
            </w:tcMar>
          </w:tcPr>
          <w:p>
            <w:r>
              <w:rPr>
                <w:rFonts w:ascii="Aptos" w:hAnsi="Aptos"/>
                <w:sz w:val="11"/>
              </w:rPr>
              <w:t>Two QMS/ICS systems, an initial assurance cohort of at least 3,500 producers and later scale tied to buyer demand and annual active-farmer gates.</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Component 4; Results Framework; Annex 1.</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6</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Digital infrastructure</w:t>
            </w:r>
          </w:p>
        </w:tc>
        <w:tc>
          <w:tcPr>
            <w:tcW w:type="dxa" w:w="68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Assisted registration, georeferenced profiles, lot/batch tracking, quality, contracts, delivery, payments, export documents and finance/insurance histories.</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Component 5; Section 7; Annexes 3 and 4.</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7</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Demonstration and processing</w:t>
            </w:r>
          </w:p>
        </w:tc>
        <w:tc>
          <w:tcPr>
            <w:tcW w:type="dxa" w:w="68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Sagalla farm-to-garment and cottonseed trials; Mavueni feedstock/oil/biodiesel pathway; scale only after evidence and approvals.</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Component 6; Sections 12 and 13.</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8</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Commercial targets</w:t>
            </w:r>
          </w:p>
        </w:tc>
        <w:tc>
          <w:tcPr>
            <w:tcW w:type="dxa" w:w="6840"/>
            <w:vAlign w:val="center"/>
            <w:tcMar>
              <w:top w:w="45" w:type="dxa"/>
              <w:start w:w="45" w:type="dxa"/>
              <w:bottom w:w="45" w:type="dxa"/>
              <w:end w:w="45" w:type="dxa"/>
            </w:tcMar>
            <w:shd w:fill="F7F9FB"/>
          </w:tcPr>
          <w:p>
            <w:r>
              <w:rPr>
                <w:rFonts w:ascii="Aptos" w:hAnsi="Aptos"/>
                <w:sz w:val="11"/>
              </w:rPr>
              <w:t>Six structured agreements, four completed export/cross-border cycles, at least KES 250 million facilitated transactions and measured net-benefit improvement, subject to baseline.</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Executive Summary; Results Framework; Annex 1.</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9</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Dutch and wider EU earning capacity</w:t>
            </w:r>
          </w:p>
        </w:tc>
        <w:tc>
          <w:tcPr>
            <w:tcW w:type="dxa" w:w="68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Labl Fashion B.V. as Netherlands gateway to multiple EU buyers, brands, logistics and financing actors, including potential Invest International/FMO engagement.</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Sections 2.1.1, 6.7 and 13.5.</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10</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Inclusion and grants</w:t>
            </w:r>
          </w:p>
        </w:tc>
        <w:tc>
          <w:tcPr>
            <w:tcW w:type="dxa" w:w="68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50% women, 35% youth, 40% women/youth-led SMEs, 25 service enterprises, individual registration/payment and controlled community grants.</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Component 8; Section 10; Section 17.3; Annexes 1, 3 and 8.</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11</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Additionality</w:t>
            </w:r>
          </w:p>
        </w:tc>
        <w:tc>
          <w:tcPr>
            <w:tcW w:type="dxa" w:w="68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Named initiatives, complementarity, grant necessity, counterfactual, no permanent subsidy and non-commercial rates.</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Section 5.2 and Annex 7.</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12</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Systemic approach</w:t>
            </w:r>
          </w:p>
        </w:tc>
        <w:tc>
          <w:tcPr>
            <w:tcW w:type="dxa" w:w="68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Open, reusable standards/platform/contracts; exact cotton-county pathway; renewable-oilseed validation; Tanzania/Uganda adaptation.</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Section 5.3; Component 9; Section 14.2.</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13</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Sustainability</w:t>
            </w:r>
          </w:p>
        </w:tc>
        <w:tc>
          <w:tcPr>
            <w:tcW w:type="dxa" w:w="68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Transaction charges, buyer/cooperative cost sharing, local capability, platform ownership/maintenance and institutionally embedded extension.</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Section 14 and exit milestones.</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14</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Institutional roles</w:t>
            </w:r>
          </w:p>
        </w:tc>
        <w:tc>
          <w:tcPr>
            <w:tcW w:type="dxa" w:w="68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Labl, Labl Fashion B.V., Crostar, Goblis, Afrisol, Afribiz, counties, Agriculture, Trade, Energy, NEMA and regulators.</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Section 2; governance tables; responsibility matrix.</w:t>
            </w:r>
          </w:p>
        </w:tc>
      </w:tr>
      <w:tr>
        <w:trPr>
          <w:cantSplit/>
        </w:trPr>
        <w:tc>
          <w:tcPr>
            <w:tcW w:type="dxa" w:w="792"/>
            <w:vAlign w:val="center"/>
            <w:tcMar>
              <w:top w:w="45" w:type="dxa"/>
              <w:start w:w="45" w:type="dxa"/>
              <w:bottom w:w="45" w:type="dxa"/>
              <w:end w:w="45" w:type="dxa"/>
            </w:tcMar>
          </w:tcPr>
          <w:p>
            <w:pPr>
              <w:spacing w:before="0" w:after="0" w:line="240" w:lineRule="auto"/>
              <w:jc w:val="center"/>
            </w:pPr>
            <w:r>
              <w:rPr>
                <w:rFonts w:ascii="Aptos" w:hAnsi="Aptos"/>
                <w:sz w:val="11"/>
              </w:rPr>
            </w:r>
            <w:r>
              <w:rPr>
                <w:rFonts w:ascii="Aptos" w:hAnsi="Aptos"/>
                <w:b w:val="0"/>
                <w:sz w:val="11"/>
              </w:rPr>
              <w:t>15</w:t>
            </w:r>
          </w:p>
        </w:tc>
        <w:tc>
          <w:tcPr>
            <w:tcW w:type="dxa" w:w="32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Regulatory approvals</w:t>
            </w:r>
          </w:p>
        </w:tc>
        <w:tc>
          <w:tcPr>
            <w:tcW w:type="dxa" w:w="6840"/>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NEMA, EPRA, KEBS, county, OSH, fire, water, waste, storage, transport and export requirements without implied prior approval.</w:t>
            </w:r>
          </w:p>
        </w:tc>
        <w:tc>
          <w:tcPr>
            <w:tcW w:type="dxa" w:w="3528"/>
            <w:vAlign w:val="center"/>
            <w:tcMar>
              <w:top w:w="45" w:type="dxa"/>
              <w:start w:w="45" w:type="dxa"/>
              <w:bottom w:w="45" w:type="dxa"/>
              <w:end w:w="45" w:type="dxa"/>
            </w:tcMar>
          </w:tcPr>
          <w:p>
            <w:pPr>
              <w:spacing w:before="0" w:after="0" w:line="240" w:lineRule="auto"/>
              <w:jc w:val="left"/>
            </w:pPr>
            <w:r>
              <w:rPr>
                <w:rFonts w:ascii="Aptos" w:hAnsi="Aptos"/>
                <w:sz w:val="11"/>
              </w:rPr>
            </w:r>
            <w:r>
              <w:rPr>
                <w:rFonts w:ascii="Aptos" w:hAnsi="Aptos"/>
                <w:b w:val="0"/>
                <w:sz w:val="11"/>
              </w:rPr>
              <w:t>Section 12; Annex 8.</w:t>
            </w:r>
          </w:p>
        </w:tc>
      </w:tr>
      <w:tr>
        <w:trPr>
          <w:cantSplit/>
        </w:trPr>
        <w:tc>
          <w:tcPr>
            <w:tcW w:type="dxa" w:w="792"/>
            <w:vAlign w:val="center"/>
            <w:tcMar>
              <w:top w:w="45" w:type="dxa"/>
              <w:start w:w="45" w:type="dxa"/>
              <w:bottom w:w="45" w:type="dxa"/>
              <w:end w:w="45" w:type="dxa"/>
            </w:tcMar>
            <w:shd w:fill="F7F9FB"/>
          </w:tcPr>
          <w:p>
            <w:pPr>
              <w:spacing w:before="0" w:after="0" w:line="240" w:lineRule="auto"/>
              <w:jc w:val="center"/>
            </w:pPr>
            <w:r>
              <w:rPr>
                <w:rFonts w:ascii="Aptos" w:hAnsi="Aptos"/>
                <w:sz w:val="11"/>
              </w:rPr>
            </w:r>
            <w:r>
              <w:rPr>
                <w:rFonts w:ascii="Aptos" w:hAnsi="Aptos"/>
                <w:b w:val="0"/>
                <w:sz w:val="11"/>
              </w:rPr>
              <w:t>16</w:t>
            </w:r>
          </w:p>
        </w:tc>
        <w:tc>
          <w:tcPr>
            <w:tcW w:type="dxa" w:w="32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Budget and contribution</w:t>
            </w:r>
          </w:p>
        </w:tc>
        <w:tc>
          <w:tcPr>
            <w:tcW w:type="dxa" w:w="6840"/>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KES 138 million, KES 125 million direct, KES 13 million indirect, partner contribution and detailed itemisation.</w:t>
            </w:r>
          </w:p>
        </w:tc>
        <w:tc>
          <w:tcPr>
            <w:tcW w:type="dxa" w:w="3528"/>
            <w:vAlign w:val="center"/>
            <w:tcMar>
              <w:top w:w="45" w:type="dxa"/>
              <w:start w:w="45" w:type="dxa"/>
              <w:bottom w:w="45" w:type="dxa"/>
              <w:end w:w="45" w:type="dxa"/>
            </w:tcMar>
            <w:shd w:fill="F7F9FB"/>
          </w:tcPr>
          <w:p>
            <w:pPr>
              <w:spacing w:before="0" w:after="0" w:line="240" w:lineRule="auto"/>
              <w:jc w:val="left"/>
            </w:pPr>
            <w:r>
              <w:rPr>
                <w:rFonts w:ascii="Aptos" w:hAnsi="Aptos"/>
                <w:sz w:val="11"/>
              </w:rPr>
            </w:r>
            <w:r>
              <w:rPr>
                <w:rFonts w:ascii="Aptos" w:hAnsi="Aptos"/>
                <w:b w:val="0"/>
                <w:sz w:val="11"/>
              </w:rPr>
              <w:t>Section 18 and Annex 6.</w:t>
            </w:r>
          </w:p>
        </w:tc>
      </w:tr>
    </w:tbl>
    <w:p>
      <w:pPr>
        <w:pStyle w:val="Heading2"/>
        <w:spacing w:before="60" w:after="40"/>
      </w:pPr>
      <w:r>
        <w:rPr>
          <w:sz w:val="22"/>
        </w:rPr>
        <w:t>Blockchain and standards references</w:t>
      </w:r>
    </w:p>
    <w:p>
      <w:pPr>
        <w:pStyle w:val="ListBullet"/>
        <w:spacing w:before="0" w:after="0" w:line="204" w:lineRule="auto"/>
      </w:pPr>
      <w:r>
        <w:rPr>
          <w:sz w:val="16"/>
        </w:rPr>
        <w:t>Hyperledger Fabric documentation: permissioned membership, channels, private-data collections, endorsement policies and tamper-evident hashes.</w:t>
      </w:r>
    </w:p>
    <w:p>
      <w:pPr>
        <w:pStyle w:val="ListBullet"/>
        <w:spacing w:before="0" w:after="0" w:line="204" w:lineRule="auto"/>
      </w:pPr>
      <w:r>
        <w:rPr>
          <w:sz w:val="16"/>
        </w:rPr>
        <w:t>GS1 EPCIS 2.0: interoperable visibility-event data for the what, when, where, why and how of products, lots, transformations and sensor-linked events.</w:t>
      </w:r>
    </w:p>
    <w:p>
      <w:pPr>
        <w:pStyle w:val="ListBullet"/>
        <w:spacing w:before="0" w:after="0" w:line="204" w:lineRule="auto"/>
      </w:pPr>
      <w:r>
        <w:rPr>
          <w:sz w:val="16"/>
        </w:rPr>
        <w:t>European Union Regulation (EU) 2024/1781 and Digital Product Passport implementation materials: product identifiers, decentralised product data and lifecycle information.</w:t>
      </w:r>
    </w:p>
    <w:p>
      <w:pPr>
        <w:pStyle w:val="ListBullet"/>
        <w:spacing w:before="0" w:after="0" w:line="204" w:lineRule="auto"/>
      </w:pPr>
      <w:r>
        <w:rPr>
          <w:sz w:val="16"/>
        </w:rPr>
        <w:t>European Blockchain Services Infrastructure / EBSI: verifiable credentials and cross-border verification approaches relevant to organisational, compliance and provenance evidence. Applicable Kenyan data-protection, electronic-transactions, payment, evidence, sector and cybersecurity requirements will be confirmed through the live compliance register.</w:t>
      </w:r>
    </w:p>
    <w:sectPr w:rsidR="00FC693F" w:rsidRPr="0006063C" w:rsidSect="00034616">
      <w:pgSz w:w="16834" w:h="11909"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17375E"/>
        <w:sz w:val="14"/>
      </w:rPr>
      <w:t>AFRIEURO LINKS | COMPREHENSIVE PROPOSAL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2F75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Display" w:hAnsi="Aptos Display"/>
      <w:b/>
      <w:bCs/>
      <w:color w:val="1F4E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line="259" w:lineRule="auto"/>
    </w:pPr>
    <w:rPr>
      <w:rFonts w:ascii="Aptos" w:hAnsi="Aptos"/>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AfriEuro Links Comprehensive Proposal</dc:title>
  <dc:subject>Integrated value-chain, permissioned blockchain, traceability and market infrastructure programme</dc:subject>
  <dc:creator>Labl Group East Africa Ltd</dc:creator>
  <cp:keywords>AfriEuro Links, blockchain, LaDOS, CEOS, proposal, traceability, EPCIS, DPP, AI, GIS, ESG</cp:keywords>
  <dc:description/>
  <cp:lastModifiedBy/>
  <cp:revision>1</cp:revision>
  <dcterms:created xsi:type="dcterms:W3CDTF">2013-12-23T23:15:00Z</dcterms:created>
  <dcterms:modified xsi:type="dcterms:W3CDTF">2013-12-23T23:15:00Z</dcterms:modified>
  <cp:category/>
</cp:coreProperties>
</file>